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3BDA585E" w14:textId="5E1FA367" w:rsidR="00E94FAD" w:rsidRPr="000455BA" w:rsidRDefault="00E94FAD" w:rsidP="00E94FAD">
      <w:pPr>
        <w:rPr>
          <w:rFonts w:cs="Times New Roman"/>
          <w:b/>
          <w:szCs w:val="24"/>
        </w:rPr>
      </w:pPr>
      <w:r w:rsidRPr="000455BA">
        <w:rPr>
          <w:rFonts w:cs="Times New Roman"/>
          <w:b/>
          <w:szCs w:val="24"/>
        </w:rPr>
        <w:t xml:space="preserve">Author Name: </w:t>
      </w:r>
      <w:r w:rsidR="00F70C85" w:rsidRPr="00E65EB0">
        <w:t>Anthony Madonna</w:t>
      </w:r>
    </w:p>
    <w:p w14:paraId="427CD8C7" w14:textId="63ABB599" w:rsidR="00E94FAD" w:rsidRPr="00F70C85" w:rsidRDefault="00E94FAD" w:rsidP="00E94FAD">
      <w:pPr>
        <w:rPr>
          <w:rFonts w:cs="Times New Roman"/>
          <w:bCs/>
          <w:szCs w:val="24"/>
        </w:rPr>
      </w:pPr>
      <w:r w:rsidRPr="000455BA">
        <w:rPr>
          <w:rFonts w:cs="Times New Roman"/>
          <w:b/>
          <w:szCs w:val="24"/>
        </w:rPr>
        <w:t xml:space="preserve">Affiliation: </w:t>
      </w:r>
      <w:r w:rsidR="00F70C85">
        <w:rPr>
          <w:rFonts w:cs="Times New Roman"/>
          <w:bCs/>
          <w:szCs w:val="24"/>
        </w:rPr>
        <w:t>University of Georgia</w:t>
      </w:r>
    </w:p>
    <w:p w14:paraId="4A9520D6" w14:textId="3CB09763" w:rsidR="00E94FAD" w:rsidRPr="000455BA" w:rsidRDefault="00E94FAD" w:rsidP="00E94FAD">
      <w:pPr>
        <w:rPr>
          <w:rFonts w:cs="Times New Roman"/>
          <w:b/>
          <w:szCs w:val="24"/>
        </w:rPr>
      </w:pPr>
      <w:r w:rsidRPr="000455BA">
        <w:rPr>
          <w:rFonts w:cs="Times New Roman"/>
          <w:b/>
          <w:szCs w:val="24"/>
        </w:rPr>
        <w:t xml:space="preserve">Date Updated: </w:t>
      </w:r>
      <w:r w:rsidR="00F70C85">
        <w:rPr>
          <w:rFonts w:cs="Times New Roman"/>
          <w:szCs w:val="24"/>
        </w:rPr>
        <w:t>6</w:t>
      </w:r>
      <w:r w:rsidRPr="000455BA">
        <w:rPr>
          <w:rFonts w:cs="Times New Roman"/>
          <w:szCs w:val="24"/>
        </w:rPr>
        <w:t>/</w:t>
      </w:r>
      <w:r w:rsidR="00F70C85">
        <w:rPr>
          <w:rFonts w:cs="Times New Roman"/>
          <w:szCs w:val="24"/>
        </w:rPr>
        <w:t>28</w:t>
      </w:r>
      <w:r w:rsidRPr="000455BA">
        <w:rPr>
          <w:rFonts w:cs="Times New Roman"/>
          <w:szCs w:val="24"/>
        </w:rPr>
        <w:t>/</w:t>
      </w:r>
      <w:r w:rsidR="00F70C85">
        <w:rPr>
          <w:rFonts w:cs="Times New Roman"/>
          <w:szCs w:val="24"/>
        </w:rPr>
        <w:t>2016</w:t>
      </w:r>
    </w:p>
    <w:p w14:paraId="561983B6" w14:textId="77777777" w:rsidR="00E94FAD" w:rsidRPr="000455BA" w:rsidRDefault="00E94FAD" w:rsidP="00E94FAD">
      <w:pPr>
        <w:rPr>
          <w:rFonts w:cs="Times New Roman"/>
          <w:szCs w:val="24"/>
        </w:rPr>
      </w:pPr>
    </w:p>
    <w:p w14:paraId="2BDED262" w14:textId="5337E35A" w:rsidR="00E94FAD" w:rsidRPr="000455BA" w:rsidRDefault="00E94FAD" w:rsidP="00E94FAD">
      <w:pPr>
        <w:rPr>
          <w:rFonts w:cs="Times New Roman"/>
          <w:szCs w:val="24"/>
        </w:rPr>
      </w:pPr>
      <w:r w:rsidRPr="000455BA">
        <w:rPr>
          <w:rFonts w:cs="Times New Roman"/>
          <w:b/>
          <w:szCs w:val="24"/>
        </w:rPr>
        <w:t xml:space="preserve">Act Title: </w:t>
      </w:r>
      <w:r w:rsidR="00F70C85" w:rsidRPr="00653F30">
        <w:t>The National Firearms Act of 1934</w:t>
      </w:r>
    </w:p>
    <w:p w14:paraId="1E39B758" w14:textId="77777777" w:rsidR="00E94FAD" w:rsidRPr="000455BA" w:rsidRDefault="00E94FAD" w:rsidP="00E94FAD">
      <w:pPr>
        <w:rPr>
          <w:rFonts w:cs="Times New Roman"/>
          <w:szCs w:val="24"/>
        </w:rPr>
      </w:pPr>
    </w:p>
    <w:p w14:paraId="273B7839" w14:textId="0654CADF" w:rsidR="00E94FAD" w:rsidRPr="00F70C85" w:rsidRDefault="00E94FAD" w:rsidP="00E94FAD">
      <w:r w:rsidRPr="000455BA">
        <w:rPr>
          <w:rFonts w:cs="Times New Roman"/>
          <w:b/>
          <w:szCs w:val="24"/>
        </w:rPr>
        <w:t xml:space="preserve">Congress: </w:t>
      </w:r>
      <w:r w:rsidR="00F70C85" w:rsidRPr="00653F30">
        <w:t>73rd Congress (March 4, 1933 – January 3, 1935)</w:t>
      </w:r>
    </w:p>
    <w:p w14:paraId="2F7FE099" w14:textId="1B1A4C4F" w:rsidR="00E94FAD" w:rsidRPr="000455BA" w:rsidRDefault="00E94FAD" w:rsidP="00E94FAD">
      <w:pPr>
        <w:rPr>
          <w:rFonts w:cs="Times New Roman"/>
          <w:szCs w:val="24"/>
        </w:rPr>
      </w:pPr>
      <w:r w:rsidRPr="000455BA">
        <w:rPr>
          <w:rFonts w:cs="Times New Roman"/>
          <w:b/>
          <w:szCs w:val="24"/>
        </w:rPr>
        <w:t>Session/Sessions:</w:t>
      </w:r>
      <w:r w:rsidRPr="000455BA">
        <w:rPr>
          <w:rFonts w:cs="Times New Roman"/>
          <w:szCs w:val="24"/>
        </w:rPr>
        <w:t xml:space="preserve"> </w:t>
      </w:r>
      <w:r w:rsidR="00F70C85">
        <w:t>2nd</w:t>
      </w:r>
    </w:p>
    <w:p w14:paraId="57D828C5" w14:textId="28D7D1B0" w:rsidR="00E94FAD" w:rsidRPr="000455BA" w:rsidRDefault="00E94FAD" w:rsidP="00E94FAD">
      <w:pPr>
        <w:rPr>
          <w:rFonts w:cs="Times New Roman"/>
          <w:szCs w:val="24"/>
        </w:rPr>
      </w:pPr>
      <w:r w:rsidRPr="000455BA">
        <w:rPr>
          <w:rFonts w:cs="Times New Roman"/>
          <w:b/>
          <w:szCs w:val="24"/>
        </w:rPr>
        <w:t>Statute No:</w:t>
      </w:r>
      <w:r w:rsidRPr="000455BA">
        <w:rPr>
          <w:rFonts w:cs="Times New Roman"/>
          <w:szCs w:val="24"/>
        </w:rPr>
        <w:t xml:space="preserve"> </w:t>
      </w:r>
    </w:p>
    <w:p w14:paraId="1AA0E995" w14:textId="38B8D025" w:rsidR="00E94FAD" w:rsidRPr="000455BA" w:rsidRDefault="00E94FAD" w:rsidP="00E94FAD">
      <w:pPr>
        <w:rPr>
          <w:rFonts w:cs="Times New Roman"/>
          <w:b/>
          <w:szCs w:val="24"/>
        </w:rPr>
      </w:pPr>
      <w:r w:rsidRPr="000455BA">
        <w:rPr>
          <w:rFonts w:cs="Times New Roman"/>
          <w:b/>
          <w:szCs w:val="24"/>
        </w:rPr>
        <w:t xml:space="preserve">Public Law No: </w:t>
      </w:r>
      <w:r w:rsidR="00F70C85">
        <w:t>73</w:t>
      </w:r>
      <w:r w:rsidR="00F70C85" w:rsidRPr="00653F30">
        <w:t xml:space="preserve"> P.L. </w:t>
      </w:r>
      <w:r w:rsidR="00F70C85">
        <w:t>474</w:t>
      </w:r>
    </w:p>
    <w:p w14:paraId="2A2DAEB4" w14:textId="34AC4216" w:rsidR="00E94FAD" w:rsidRPr="000455BA" w:rsidRDefault="00E94FAD" w:rsidP="00E94FAD">
      <w:pPr>
        <w:rPr>
          <w:rFonts w:cs="Times New Roman"/>
          <w:szCs w:val="24"/>
        </w:rPr>
      </w:pPr>
      <w:r w:rsidRPr="000455BA">
        <w:rPr>
          <w:rFonts w:cs="Times New Roman"/>
          <w:b/>
          <w:szCs w:val="24"/>
        </w:rPr>
        <w:t>Eid:</w:t>
      </w:r>
      <w:r w:rsidR="00F70C85">
        <w:rPr>
          <w:rFonts w:cs="Times New Roman"/>
          <w:b/>
          <w:szCs w:val="24"/>
        </w:rPr>
        <w:t xml:space="preserve"> </w:t>
      </w:r>
      <w:r w:rsidR="00F70C85" w:rsidRPr="0032400B">
        <w:t>730474</w:t>
      </w:r>
    </w:p>
    <w:p w14:paraId="3594045C" w14:textId="77777777" w:rsidR="00E94FAD" w:rsidRPr="000455BA" w:rsidRDefault="00E94FAD" w:rsidP="00E94FAD">
      <w:pPr>
        <w:rPr>
          <w:rFonts w:cs="Times New Roman"/>
          <w:szCs w:val="24"/>
        </w:rPr>
      </w:pPr>
    </w:p>
    <w:p w14:paraId="0C56859F" w14:textId="77777777" w:rsidR="00F70C85" w:rsidRDefault="00E94FAD" w:rsidP="00F70C85">
      <w:r w:rsidRPr="000455BA">
        <w:rPr>
          <w:rFonts w:cs="Times New Roman"/>
          <w:b/>
          <w:szCs w:val="24"/>
        </w:rPr>
        <w:t>Bill:</w:t>
      </w:r>
      <w:r w:rsidRPr="000455BA">
        <w:rPr>
          <w:rFonts w:cs="Times New Roman"/>
          <w:szCs w:val="24"/>
        </w:rPr>
        <w:t xml:space="preserve"> </w:t>
      </w:r>
      <w:r w:rsidR="00F70C85">
        <w:t>HR</w:t>
      </w:r>
      <w:r w:rsidR="00F70C85" w:rsidRPr="00653F30">
        <w:t xml:space="preserve"> </w:t>
      </w:r>
      <w:r w:rsidR="00F70C85">
        <w:t>9741</w:t>
      </w:r>
    </w:p>
    <w:p w14:paraId="0A781684" w14:textId="6E50D2FD" w:rsidR="00E94FAD" w:rsidRPr="000455BA" w:rsidRDefault="00E94FAD" w:rsidP="00E94FAD">
      <w:pPr>
        <w:rPr>
          <w:rFonts w:cs="Times New Roman"/>
          <w:szCs w:val="24"/>
        </w:rPr>
      </w:pPr>
    </w:p>
    <w:p w14:paraId="3C04784E" w14:textId="2F06474A" w:rsidR="00E94FAD" w:rsidRPr="000455BA" w:rsidRDefault="00E94FAD" w:rsidP="00E94FAD">
      <w:pPr>
        <w:rPr>
          <w:rFonts w:cs="Times New Roman"/>
          <w:szCs w:val="24"/>
        </w:rPr>
      </w:pPr>
      <w:r w:rsidRPr="000455BA">
        <w:rPr>
          <w:rFonts w:cs="Times New Roman"/>
          <w:b/>
          <w:szCs w:val="24"/>
        </w:rPr>
        <w:t>Sponsor:</w:t>
      </w:r>
      <w:r w:rsidRPr="000455BA">
        <w:rPr>
          <w:rFonts w:cs="Times New Roman"/>
          <w:szCs w:val="24"/>
        </w:rPr>
        <w:t xml:space="preserve"> </w:t>
      </w:r>
      <w:r w:rsidR="00F70C85" w:rsidRPr="00C3741E">
        <w:t xml:space="preserve">Rep. </w:t>
      </w:r>
      <w:r w:rsidR="00F70C85" w:rsidRPr="00E42062">
        <w:t>Robert Lee Doughton (D-NC)</w:t>
      </w:r>
    </w:p>
    <w:p w14:paraId="12882493" w14:textId="0968D2C8" w:rsidR="00E94FAD" w:rsidRPr="00F70C85" w:rsidRDefault="00E94FAD" w:rsidP="00E94FAD">
      <w:pPr>
        <w:rPr>
          <w:rFonts w:cs="Times New Roman"/>
          <w:bCs/>
          <w:szCs w:val="24"/>
        </w:rPr>
      </w:pPr>
      <w:r w:rsidRPr="000455BA">
        <w:rPr>
          <w:rFonts w:cs="Times New Roman"/>
          <w:b/>
          <w:szCs w:val="24"/>
        </w:rPr>
        <w:t xml:space="preserve">House Committees: </w:t>
      </w:r>
      <w:r w:rsidR="00F70C85">
        <w:rPr>
          <w:rFonts w:cs="Times New Roman"/>
          <w:bCs/>
          <w:szCs w:val="24"/>
        </w:rPr>
        <w:t>House Committee on Ways and Means</w:t>
      </w:r>
    </w:p>
    <w:p w14:paraId="0BEFE5E2" w14:textId="06B99CE8" w:rsidR="00E94FAD" w:rsidRPr="000455BA" w:rsidRDefault="00E94FAD" w:rsidP="00E94FAD">
      <w:pPr>
        <w:rPr>
          <w:rFonts w:cs="Times New Roman"/>
          <w:szCs w:val="24"/>
        </w:rPr>
      </w:pPr>
      <w:r w:rsidRPr="000455BA">
        <w:rPr>
          <w:rFonts w:cs="Times New Roman"/>
          <w:b/>
          <w:szCs w:val="24"/>
        </w:rPr>
        <w:t>Senate Committees:</w:t>
      </w:r>
      <w:r w:rsidRPr="000455BA">
        <w:rPr>
          <w:rFonts w:cs="Times New Roman"/>
          <w:szCs w:val="24"/>
        </w:rPr>
        <w:t xml:space="preserve"> </w:t>
      </w:r>
      <w:r w:rsidR="00F70C85">
        <w:rPr>
          <w:rFonts w:cs="Times New Roman"/>
          <w:szCs w:val="24"/>
        </w:rPr>
        <w:t>Senate Committee on Finance</w:t>
      </w:r>
    </w:p>
    <w:p w14:paraId="0D52D7B6" w14:textId="77777777" w:rsidR="00E94FAD" w:rsidRPr="000455BA" w:rsidRDefault="00E94FAD" w:rsidP="00E94FAD">
      <w:pPr>
        <w:rPr>
          <w:rFonts w:cs="Times New Roman"/>
          <w:b/>
          <w:szCs w:val="24"/>
        </w:rPr>
      </w:pPr>
    </w:p>
    <w:p w14:paraId="3E2A14F8" w14:textId="70D2398C" w:rsidR="00E94FAD" w:rsidRPr="000455BA" w:rsidRDefault="00E94FAD" w:rsidP="00E94FAD">
      <w:pPr>
        <w:rPr>
          <w:rFonts w:cs="Times New Roman"/>
          <w:b/>
          <w:szCs w:val="24"/>
        </w:rPr>
      </w:pPr>
      <w:r w:rsidRPr="000455BA">
        <w:rPr>
          <w:rFonts w:cs="Times New Roman"/>
          <w:b/>
          <w:szCs w:val="24"/>
        </w:rPr>
        <w:t xml:space="preserve">Companion Bill: </w:t>
      </w:r>
      <w:r w:rsidR="00F70C85" w:rsidRPr="00C3741E">
        <w:t>None</w:t>
      </w:r>
    </w:p>
    <w:p w14:paraId="6F733C3E" w14:textId="702280A8" w:rsidR="00E94FAD" w:rsidRPr="00F70C85" w:rsidRDefault="00E94FAD" w:rsidP="00F70C85">
      <w:pPr>
        <w:spacing w:after="160"/>
      </w:pPr>
      <w:r w:rsidRPr="000455BA">
        <w:rPr>
          <w:rFonts w:cs="Times New Roman"/>
          <w:b/>
          <w:szCs w:val="24"/>
        </w:rPr>
        <w:t xml:space="preserve">Related Bills: </w:t>
      </w:r>
      <w:r w:rsidR="00F70C85" w:rsidRPr="00C3741E">
        <w:t>HR 1608, HR 1659, S 885, S 1301, S 2258, S 2840, S 2844, S 3860, S 3795</w:t>
      </w:r>
    </w:p>
    <w:p w14:paraId="16DBF3BC" w14:textId="46BA1245" w:rsidR="00E94FAD" w:rsidRDefault="00E94FAD" w:rsidP="00E94FAD">
      <w:pPr>
        <w:rPr>
          <w:rFonts w:cs="Times New Roman"/>
          <w:szCs w:val="24"/>
        </w:rPr>
      </w:pPr>
      <w:r w:rsidRPr="000455BA">
        <w:rPr>
          <w:rFonts w:cs="Times New Roman"/>
          <w:b/>
          <w:szCs w:val="24"/>
        </w:rPr>
        <w:t>House Rules:</w:t>
      </w:r>
      <w:r w:rsidRPr="000455BA">
        <w:rPr>
          <w:rFonts w:cs="Times New Roman"/>
          <w:szCs w:val="24"/>
        </w:rPr>
        <w:t xml:space="preserve"> </w:t>
      </w:r>
      <w:r w:rsidR="00F70C85" w:rsidRPr="00C3741E">
        <w:t>None</w:t>
      </w:r>
      <w:r w:rsidRPr="000455BA">
        <w:rPr>
          <w:rFonts w:cs="Times New Roman"/>
          <w:szCs w:val="24"/>
        </w:rPr>
        <w:br/>
      </w:r>
      <w:r w:rsidRPr="000455BA">
        <w:rPr>
          <w:rFonts w:cs="Times New Roman"/>
          <w:b/>
          <w:szCs w:val="24"/>
        </w:rPr>
        <w:t>Past Bills:</w:t>
      </w:r>
      <w:r w:rsidRPr="000455BA">
        <w:rPr>
          <w:rFonts w:cs="Times New Roman"/>
          <w:szCs w:val="24"/>
        </w:rPr>
        <w:t xml:space="preserve"> </w:t>
      </w:r>
      <w:r w:rsidR="00F70C85" w:rsidRPr="00C3741E">
        <w:t>72nd Congress</w:t>
      </w:r>
      <w:r w:rsidR="00F70C85">
        <w:t xml:space="preserve">: HR 9066, </w:t>
      </w:r>
      <w:proofErr w:type="spellStart"/>
      <w:r w:rsidR="00F70C85">
        <w:t>SCRes</w:t>
      </w:r>
      <w:proofErr w:type="spellEnd"/>
      <w:r w:rsidR="00F70C85">
        <w:t xml:space="preserve"> 24, </w:t>
      </w:r>
      <w:r w:rsidR="00F70C85" w:rsidRPr="00C3741E">
        <w:t>S 5, HR 60</w:t>
      </w:r>
      <w:r w:rsidR="00F70C85">
        <w:t xml:space="preserve">28, HR 9972, HR 10492, HR 12589, </w:t>
      </w:r>
      <w:r w:rsidR="00F70C85" w:rsidRPr="00C3741E">
        <w:t>S 5702</w:t>
      </w:r>
    </w:p>
    <w:p w14:paraId="6B5BC731" w14:textId="77777777" w:rsidR="00F70C85" w:rsidRPr="00F70C85" w:rsidRDefault="00F70C85" w:rsidP="00E94FAD">
      <w:pPr>
        <w:rPr>
          <w:rFonts w:cs="Times New Roman"/>
          <w:szCs w:val="24"/>
        </w:rPr>
      </w:pPr>
    </w:p>
    <w:p w14:paraId="0F223B62" w14:textId="642352CE" w:rsidR="00E94FAD" w:rsidRPr="000455BA" w:rsidRDefault="00E94FAD" w:rsidP="00E94FAD">
      <w:pPr>
        <w:rPr>
          <w:rFonts w:cs="Times New Roman"/>
          <w:szCs w:val="24"/>
        </w:rPr>
      </w:pPr>
      <w:r w:rsidRPr="000455BA">
        <w:rPr>
          <w:rFonts w:cs="Times New Roman"/>
          <w:b/>
          <w:szCs w:val="24"/>
        </w:rPr>
        <w:t xml:space="preserve">Introduced Date- Law Date: </w:t>
      </w:r>
      <w:r w:rsidR="005F3444" w:rsidRPr="00C3741E">
        <w:t>72nd Congress</w:t>
      </w:r>
      <w:r w:rsidR="005F3444">
        <w:t xml:space="preserve">: HR 9066, </w:t>
      </w:r>
      <w:proofErr w:type="spellStart"/>
      <w:r w:rsidR="005F3444">
        <w:t>SCRes</w:t>
      </w:r>
      <w:proofErr w:type="spellEnd"/>
      <w:r w:rsidR="005F3444">
        <w:t xml:space="preserve"> 24, </w:t>
      </w:r>
      <w:r w:rsidR="005F3444" w:rsidRPr="00C3741E">
        <w:t>S 5, HR 60</w:t>
      </w:r>
      <w:r w:rsidR="005F3444">
        <w:t xml:space="preserve">28, HR 9972, HR 10492, HR 12589, </w:t>
      </w:r>
      <w:r w:rsidR="005F3444" w:rsidRPr="00C3741E">
        <w:t>S 5702</w:t>
      </w:r>
    </w:p>
    <w:p w14:paraId="2F4CC80A" w14:textId="3D59E006" w:rsidR="00E94FAD" w:rsidRPr="000455BA" w:rsidRDefault="00E94FAD" w:rsidP="00E94FAD">
      <w:pPr>
        <w:rPr>
          <w:rFonts w:cs="Times New Roman"/>
          <w:szCs w:val="24"/>
        </w:rPr>
      </w:pPr>
      <w:r w:rsidRPr="000455BA">
        <w:rPr>
          <w:rFonts w:cs="Times New Roman"/>
          <w:b/>
          <w:szCs w:val="24"/>
        </w:rPr>
        <w:t>House Floor Days:</w:t>
      </w:r>
      <w:r w:rsidRPr="000455BA">
        <w:rPr>
          <w:rFonts w:cs="Times New Roman"/>
          <w:szCs w:val="24"/>
        </w:rPr>
        <w:t xml:space="preserve"> </w:t>
      </w:r>
      <w:r w:rsidR="005F3444">
        <w:t>2</w:t>
      </w:r>
      <w:r w:rsidR="005F3444" w:rsidRPr="00C3741E">
        <w:t xml:space="preserve"> (</w:t>
      </w:r>
      <w:r w:rsidR="005F3444">
        <w:t>June 13, 18</w:t>
      </w:r>
      <w:r w:rsidR="005F3444" w:rsidRPr="00C3741E">
        <w:t>)</w:t>
      </w:r>
    </w:p>
    <w:p w14:paraId="2FA2EC45" w14:textId="2A0FE10D" w:rsidR="00E94FAD" w:rsidRPr="000455BA" w:rsidRDefault="00E94FAD" w:rsidP="00E94FAD">
      <w:pPr>
        <w:rPr>
          <w:rFonts w:cs="Times New Roman"/>
          <w:szCs w:val="24"/>
        </w:rPr>
      </w:pPr>
      <w:r w:rsidRPr="000455BA">
        <w:rPr>
          <w:rFonts w:cs="Times New Roman"/>
          <w:b/>
          <w:szCs w:val="24"/>
        </w:rPr>
        <w:t>Senate Floor Days:</w:t>
      </w:r>
      <w:r w:rsidRPr="000455BA">
        <w:rPr>
          <w:rFonts w:cs="Times New Roman"/>
          <w:szCs w:val="24"/>
        </w:rPr>
        <w:t xml:space="preserve"> </w:t>
      </w:r>
      <w:r w:rsidR="005F3444">
        <w:t>1</w:t>
      </w:r>
      <w:r w:rsidR="005F3444" w:rsidRPr="00C3741E">
        <w:t xml:space="preserve"> (</w:t>
      </w:r>
      <w:r w:rsidR="005F3444">
        <w:t>June 18</w:t>
      </w:r>
      <w:r w:rsidR="005F3444" w:rsidRPr="00C3741E">
        <w:t>)</w:t>
      </w:r>
    </w:p>
    <w:p w14:paraId="184ED53B" w14:textId="75D93427" w:rsidR="00E94FAD" w:rsidRPr="000455BA" w:rsidRDefault="00E94FAD" w:rsidP="00E94FAD">
      <w:pPr>
        <w:rPr>
          <w:rFonts w:cs="Times New Roman"/>
          <w:b/>
          <w:szCs w:val="24"/>
        </w:rPr>
      </w:pPr>
      <w:r w:rsidRPr="000455BA">
        <w:rPr>
          <w:rFonts w:cs="Times New Roman"/>
          <w:b/>
          <w:szCs w:val="24"/>
        </w:rPr>
        <w:t xml:space="preserve">Roll Call Votes: </w:t>
      </w:r>
      <w:r w:rsidR="005F3444">
        <w:t>0</w:t>
      </w:r>
    </w:p>
    <w:p w14:paraId="2356FAD2" w14:textId="3A3AA3F6" w:rsidR="00E94FAD" w:rsidRDefault="00E94FAD" w:rsidP="00E94FAD">
      <w:r w:rsidRPr="000455BA">
        <w:rPr>
          <w:rFonts w:cs="Times New Roman"/>
          <w:b/>
          <w:szCs w:val="24"/>
        </w:rPr>
        <w:t xml:space="preserve">Tags: </w:t>
      </w:r>
      <w:r w:rsidR="005F3444" w:rsidRPr="0032400B">
        <w:t>Committee amending, lobbying, gun control</w:t>
      </w:r>
    </w:p>
    <w:p w14:paraId="76B0D75A" w14:textId="7942805E" w:rsidR="00901868" w:rsidRDefault="00901868" w:rsidP="00E94FAD"/>
    <w:sdt>
      <w:sdtPr>
        <w:rPr>
          <w:rFonts w:ascii="Times New Roman" w:eastAsiaTheme="minorHAnsi" w:hAnsi="Times New Roman" w:cs="Times New Roman"/>
          <w:color w:val="auto"/>
          <w:sz w:val="24"/>
          <w:szCs w:val="24"/>
        </w:rPr>
        <w:id w:val="477197869"/>
        <w:docPartObj>
          <w:docPartGallery w:val="Table of Contents"/>
          <w:docPartUnique/>
        </w:docPartObj>
      </w:sdtPr>
      <w:sdtEndPr>
        <w:rPr>
          <w:rFonts w:cstheme="minorBidi"/>
          <w:b/>
          <w:noProof/>
          <w:szCs w:val="22"/>
        </w:rPr>
      </w:sdtEndPr>
      <w:sdtContent>
        <w:p w14:paraId="45819CBD" w14:textId="77777777" w:rsidR="00901868" w:rsidRPr="00901868" w:rsidRDefault="00901868" w:rsidP="00901868">
          <w:pPr>
            <w:pStyle w:val="TOCHeading"/>
            <w:jc w:val="center"/>
            <w:rPr>
              <w:rFonts w:ascii="Times New Roman" w:hAnsi="Times New Roman" w:cs="Times New Roman"/>
              <w:b/>
              <w:color w:val="auto"/>
              <w:sz w:val="24"/>
              <w:szCs w:val="24"/>
              <w:u w:val="single"/>
            </w:rPr>
          </w:pPr>
          <w:r w:rsidRPr="00901868">
            <w:rPr>
              <w:rFonts w:ascii="Times New Roman" w:hAnsi="Times New Roman" w:cs="Times New Roman"/>
              <w:b/>
              <w:color w:val="auto"/>
              <w:sz w:val="24"/>
              <w:szCs w:val="24"/>
              <w:u w:val="single"/>
            </w:rPr>
            <w:t>Contents</w:t>
          </w:r>
        </w:p>
        <w:p w14:paraId="4A8863D8" w14:textId="2618E21B" w:rsidR="00901868" w:rsidRPr="00901868" w:rsidRDefault="00901868">
          <w:pPr>
            <w:pStyle w:val="TOC1"/>
            <w:tabs>
              <w:tab w:val="right" w:leader="dot" w:pos="9350"/>
            </w:tabs>
            <w:rPr>
              <w:rFonts w:asciiTheme="minorHAnsi" w:eastAsiaTheme="minorEastAsia" w:hAnsiTheme="minorHAnsi" w:cstheme="minorBidi"/>
              <w:b/>
              <w:noProof/>
            </w:rPr>
          </w:pPr>
          <w:r w:rsidRPr="00901868">
            <w:rPr>
              <w:b/>
            </w:rPr>
            <w:fldChar w:fldCharType="begin"/>
          </w:r>
          <w:r w:rsidRPr="00901868">
            <w:rPr>
              <w:b/>
            </w:rPr>
            <w:instrText xml:space="preserve"> TOC \o "1-3" \h \z \u </w:instrText>
          </w:r>
          <w:r w:rsidRPr="00901868">
            <w:rPr>
              <w:b/>
            </w:rPr>
            <w:fldChar w:fldCharType="separate"/>
          </w:r>
          <w:hyperlink w:anchor="_Toc102657507" w:history="1">
            <w:r w:rsidRPr="00901868">
              <w:rPr>
                <w:rStyle w:val="Hyperlink"/>
                <w:b/>
                <w:noProof/>
              </w:rPr>
              <w:t>Summary</w:t>
            </w:r>
            <w:r w:rsidRPr="00901868">
              <w:rPr>
                <w:b/>
                <w:noProof/>
                <w:webHidden/>
              </w:rPr>
              <w:tab/>
            </w:r>
            <w:r w:rsidRPr="00901868">
              <w:rPr>
                <w:b/>
                <w:noProof/>
                <w:webHidden/>
              </w:rPr>
              <w:fldChar w:fldCharType="begin"/>
            </w:r>
            <w:r w:rsidRPr="00901868">
              <w:rPr>
                <w:b/>
                <w:noProof/>
                <w:webHidden/>
              </w:rPr>
              <w:instrText xml:space="preserve"> PAGEREF _Toc102657507 \h </w:instrText>
            </w:r>
            <w:r w:rsidRPr="00901868">
              <w:rPr>
                <w:b/>
                <w:noProof/>
                <w:webHidden/>
              </w:rPr>
            </w:r>
            <w:r w:rsidRPr="00901868">
              <w:rPr>
                <w:b/>
                <w:noProof/>
                <w:webHidden/>
              </w:rPr>
              <w:fldChar w:fldCharType="separate"/>
            </w:r>
            <w:r w:rsidR="00F1536A">
              <w:rPr>
                <w:b/>
                <w:noProof/>
                <w:webHidden/>
              </w:rPr>
              <w:t>2</w:t>
            </w:r>
            <w:r w:rsidRPr="00901868">
              <w:rPr>
                <w:b/>
                <w:noProof/>
                <w:webHidden/>
              </w:rPr>
              <w:fldChar w:fldCharType="end"/>
            </w:r>
          </w:hyperlink>
        </w:p>
        <w:p w14:paraId="6D6B27E3" w14:textId="5423E918" w:rsidR="00901868" w:rsidRPr="00901868" w:rsidRDefault="00901868">
          <w:pPr>
            <w:pStyle w:val="TOC1"/>
            <w:tabs>
              <w:tab w:val="right" w:leader="dot" w:pos="9350"/>
            </w:tabs>
            <w:rPr>
              <w:rFonts w:asciiTheme="minorHAnsi" w:eastAsiaTheme="minorEastAsia" w:hAnsiTheme="minorHAnsi" w:cstheme="minorBidi"/>
              <w:b/>
              <w:noProof/>
            </w:rPr>
          </w:pPr>
          <w:hyperlink w:anchor="_Toc102657508" w:history="1">
            <w:r w:rsidRPr="00901868">
              <w:rPr>
                <w:rStyle w:val="Hyperlink"/>
                <w:b/>
                <w:noProof/>
              </w:rPr>
              <w:t>Background</w:t>
            </w:r>
            <w:r w:rsidRPr="00901868">
              <w:rPr>
                <w:b/>
                <w:noProof/>
                <w:webHidden/>
              </w:rPr>
              <w:tab/>
            </w:r>
            <w:r w:rsidRPr="00901868">
              <w:rPr>
                <w:b/>
                <w:noProof/>
                <w:webHidden/>
              </w:rPr>
              <w:fldChar w:fldCharType="begin"/>
            </w:r>
            <w:r w:rsidRPr="00901868">
              <w:rPr>
                <w:b/>
                <w:noProof/>
                <w:webHidden/>
              </w:rPr>
              <w:instrText xml:space="preserve"> PAGEREF _Toc102657508 \h </w:instrText>
            </w:r>
            <w:r w:rsidRPr="00901868">
              <w:rPr>
                <w:b/>
                <w:noProof/>
                <w:webHidden/>
              </w:rPr>
            </w:r>
            <w:r w:rsidRPr="00901868">
              <w:rPr>
                <w:b/>
                <w:noProof/>
                <w:webHidden/>
              </w:rPr>
              <w:fldChar w:fldCharType="separate"/>
            </w:r>
            <w:r w:rsidR="00F1536A">
              <w:rPr>
                <w:b/>
                <w:noProof/>
                <w:webHidden/>
              </w:rPr>
              <w:t>3</w:t>
            </w:r>
            <w:r w:rsidRPr="00901868">
              <w:rPr>
                <w:b/>
                <w:noProof/>
                <w:webHidden/>
              </w:rPr>
              <w:fldChar w:fldCharType="end"/>
            </w:r>
          </w:hyperlink>
        </w:p>
        <w:p w14:paraId="42E6282D" w14:textId="4CD9A821" w:rsidR="00901868" w:rsidRPr="00901868" w:rsidRDefault="00901868">
          <w:pPr>
            <w:pStyle w:val="TOC1"/>
            <w:tabs>
              <w:tab w:val="right" w:leader="dot" w:pos="9350"/>
            </w:tabs>
            <w:rPr>
              <w:rFonts w:asciiTheme="minorHAnsi" w:eastAsiaTheme="minorEastAsia" w:hAnsiTheme="minorHAnsi" w:cstheme="minorBidi"/>
              <w:b/>
              <w:noProof/>
            </w:rPr>
          </w:pPr>
          <w:hyperlink w:anchor="_Toc102657509" w:history="1">
            <w:r w:rsidRPr="00901868">
              <w:rPr>
                <w:rStyle w:val="Hyperlink"/>
                <w:b/>
                <w:noProof/>
              </w:rPr>
              <w:t>Initial House Consideration (June 13, 1934)</w:t>
            </w:r>
            <w:r w:rsidRPr="00901868">
              <w:rPr>
                <w:b/>
                <w:noProof/>
                <w:webHidden/>
              </w:rPr>
              <w:tab/>
            </w:r>
            <w:r w:rsidRPr="00901868">
              <w:rPr>
                <w:b/>
                <w:noProof/>
                <w:webHidden/>
              </w:rPr>
              <w:fldChar w:fldCharType="begin"/>
            </w:r>
            <w:r w:rsidRPr="00901868">
              <w:rPr>
                <w:b/>
                <w:noProof/>
                <w:webHidden/>
              </w:rPr>
              <w:instrText xml:space="preserve"> PAGEREF _Toc102657509 \h </w:instrText>
            </w:r>
            <w:r w:rsidRPr="00901868">
              <w:rPr>
                <w:b/>
                <w:noProof/>
                <w:webHidden/>
              </w:rPr>
            </w:r>
            <w:r w:rsidRPr="00901868">
              <w:rPr>
                <w:b/>
                <w:noProof/>
                <w:webHidden/>
              </w:rPr>
              <w:fldChar w:fldCharType="separate"/>
            </w:r>
            <w:r w:rsidR="00F1536A">
              <w:rPr>
                <w:b/>
                <w:noProof/>
                <w:webHidden/>
              </w:rPr>
              <w:t>4</w:t>
            </w:r>
            <w:r w:rsidRPr="00901868">
              <w:rPr>
                <w:b/>
                <w:noProof/>
                <w:webHidden/>
              </w:rPr>
              <w:fldChar w:fldCharType="end"/>
            </w:r>
          </w:hyperlink>
        </w:p>
        <w:p w14:paraId="12A011CE" w14:textId="728D41DA" w:rsidR="00901868" w:rsidRPr="00901868" w:rsidRDefault="00901868">
          <w:pPr>
            <w:pStyle w:val="TOC1"/>
            <w:tabs>
              <w:tab w:val="right" w:leader="dot" w:pos="9350"/>
            </w:tabs>
            <w:rPr>
              <w:rFonts w:asciiTheme="minorHAnsi" w:eastAsiaTheme="minorEastAsia" w:hAnsiTheme="minorHAnsi" w:cstheme="minorBidi"/>
              <w:b/>
              <w:noProof/>
            </w:rPr>
          </w:pPr>
          <w:hyperlink w:anchor="_Toc102657510" w:history="1">
            <w:r w:rsidRPr="00901868">
              <w:rPr>
                <w:rStyle w:val="Hyperlink"/>
                <w:b/>
                <w:noProof/>
              </w:rPr>
              <w:t>Initial Senate Consideration (June 18, 1934)</w:t>
            </w:r>
            <w:r w:rsidRPr="00901868">
              <w:rPr>
                <w:b/>
                <w:noProof/>
                <w:webHidden/>
              </w:rPr>
              <w:tab/>
            </w:r>
            <w:r w:rsidRPr="00901868">
              <w:rPr>
                <w:b/>
                <w:noProof/>
                <w:webHidden/>
              </w:rPr>
              <w:fldChar w:fldCharType="begin"/>
            </w:r>
            <w:r w:rsidRPr="00901868">
              <w:rPr>
                <w:b/>
                <w:noProof/>
                <w:webHidden/>
              </w:rPr>
              <w:instrText xml:space="preserve"> PAGEREF _Toc102657510 \h </w:instrText>
            </w:r>
            <w:r w:rsidRPr="00901868">
              <w:rPr>
                <w:b/>
                <w:noProof/>
                <w:webHidden/>
              </w:rPr>
            </w:r>
            <w:r w:rsidRPr="00901868">
              <w:rPr>
                <w:b/>
                <w:noProof/>
                <w:webHidden/>
              </w:rPr>
              <w:fldChar w:fldCharType="separate"/>
            </w:r>
            <w:r w:rsidR="00F1536A">
              <w:rPr>
                <w:b/>
                <w:noProof/>
                <w:webHidden/>
              </w:rPr>
              <w:t>4</w:t>
            </w:r>
            <w:r w:rsidRPr="00901868">
              <w:rPr>
                <w:b/>
                <w:noProof/>
                <w:webHidden/>
              </w:rPr>
              <w:fldChar w:fldCharType="end"/>
            </w:r>
          </w:hyperlink>
        </w:p>
        <w:p w14:paraId="21D7BBF1" w14:textId="76EF715B" w:rsidR="00901868" w:rsidRPr="00901868" w:rsidRDefault="00901868">
          <w:pPr>
            <w:pStyle w:val="TOC1"/>
            <w:tabs>
              <w:tab w:val="right" w:leader="dot" w:pos="9350"/>
            </w:tabs>
            <w:rPr>
              <w:rFonts w:asciiTheme="minorHAnsi" w:eastAsiaTheme="minorEastAsia" w:hAnsiTheme="minorHAnsi" w:cstheme="minorBidi"/>
              <w:b/>
              <w:noProof/>
            </w:rPr>
          </w:pPr>
          <w:hyperlink w:anchor="_Toc102657511" w:history="1">
            <w:r w:rsidRPr="00901868">
              <w:rPr>
                <w:rStyle w:val="Hyperlink"/>
                <w:b/>
                <w:noProof/>
              </w:rPr>
              <w:t>Secondary House Consideration (June 18, 1934)</w:t>
            </w:r>
            <w:r w:rsidRPr="00901868">
              <w:rPr>
                <w:b/>
                <w:noProof/>
                <w:webHidden/>
              </w:rPr>
              <w:tab/>
            </w:r>
            <w:r w:rsidRPr="00901868">
              <w:rPr>
                <w:b/>
                <w:noProof/>
                <w:webHidden/>
              </w:rPr>
              <w:fldChar w:fldCharType="begin"/>
            </w:r>
            <w:r w:rsidRPr="00901868">
              <w:rPr>
                <w:b/>
                <w:noProof/>
                <w:webHidden/>
              </w:rPr>
              <w:instrText xml:space="preserve"> PAGEREF _Toc102657511 \h </w:instrText>
            </w:r>
            <w:r w:rsidRPr="00901868">
              <w:rPr>
                <w:b/>
                <w:noProof/>
                <w:webHidden/>
              </w:rPr>
            </w:r>
            <w:r w:rsidRPr="00901868">
              <w:rPr>
                <w:b/>
                <w:noProof/>
                <w:webHidden/>
              </w:rPr>
              <w:fldChar w:fldCharType="separate"/>
            </w:r>
            <w:r w:rsidR="00F1536A">
              <w:rPr>
                <w:b/>
                <w:noProof/>
                <w:webHidden/>
              </w:rPr>
              <w:t>4</w:t>
            </w:r>
            <w:r w:rsidRPr="00901868">
              <w:rPr>
                <w:b/>
                <w:noProof/>
                <w:webHidden/>
              </w:rPr>
              <w:fldChar w:fldCharType="end"/>
            </w:r>
          </w:hyperlink>
        </w:p>
        <w:p w14:paraId="6C51D78D" w14:textId="5E79F6A3" w:rsidR="00901868" w:rsidRPr="00901868" w:rsidRDefault="00901868">
          <w:pPr>
            <w:pStyle w:val="TOC1"/>
            <w:tabs>
              <w:tab w:val="right" w:leader="dot" w:pos="9350"/>
            </w:tabs>
            <w:rPr>
              <w:rFonts w:asciiTheme="minorHAnsi" w:eastAsiaTheme="minorEastAsia" w:hAnsiTheme="minorHAnsi" w:cstheme="minorBidi"/>
              <w:b/>
              <w:noProof/>
            </w:rPr>
          </w:pPr>
          <w:hyperlink w:anchor="_Toc102657512" w:history="1">
            <w:r w:rsidRPr="00901868">
              <w:rPr>
                <w:rStyle w:val="Hyperlink"/>
                <w:b/>
                <w:noProof/>
              </w:rPr>
              <w:t>Secondary Senate Consideration (June 18, 1934)</w:t>
            </w:r>
            <w:r w:rsidRPr="00901868">
              <w:rPr>
                <w:b/>
                <w:noProof/>
                <w:webHidden/>
              </w:rPr>
              <w:tab/>
            </w:r>
            <w:r w:rsidRPr="00901868">
              <w:rPr>
                <w:b/>
                <w:noProof/>
                <w:webHidden/>
              </w:rPr>
              <w:fldChar w:fldCharType="begin"/>
            </w:r>
            <w:r w:rsidRPr="00901868">
              <w:rPr>
                <w:b/>
                <w:noProof/>
                <w:webHidden/>
              </w:rPr>
              <w:instrText xml:space="preserve"> PAGEREF _Toc102657512 \h </w:instrText>
            </w:r>
            <w:r w:rsidRPr="00901868">
              <w:rPr>
                <w:b/>
                <w:noProof/>
                <w:webHidden/>
              </w:rPr>
            </w:r>
            <w:r w:rsidRPr="00901868">
              <w:rPr>
                <w:b/>
                <w:noProof/>
                <w:webHidden/>
              </w:rPr>
              <w:fldChar w:fldCharType="separate"/>
            </w:r>
            <w:r w:rsidR="00F1536A">
              <w:rPr>
                <w:b/>
                <w:noProof/>
                <w:webHidden/>
              </w:rPr>
              <w:t>4</w:t>
            </w:r>
            <w:r w:rsidRPr="00901868">
              <w:rPr>
                <w:b/>
                <w:noProof/>
                <w:webHidden/>
              </w:rPr>
              <w:fldChar w:fldCharType="end"/>
            </w:r>
          </w:hyperlink>
        </w:p>
        <w:p w14:paraId="1AC7359C" w14:textId="42D17844" w:rsidR="00901868" w:rsidRPr="00901868" w:rsidRDefault="00901868">
          <w:pPr>
            <w:pStyle w:val="TOC1"/>
            <w:tabs>
              <w:tab w:val="right" w:leader="dot" w:pos="9350"/>
            </w:tabs>
            <w:rPr>
              <w:rFonts w:asciiTheme="minorHAnsi" w:eastAsiaTheme="minorEastAsia" w:hAnsiTheme="minorHAnsi" w:cstheme="minorBidi"/>
              <w:b/>
              <w:noProof/>
            </w:rPr>
          </w:pPr>
          <w:hyperlink w:anchor="_Toc102657513" w:history="1">
            <w:r w:rsidRPr="00901868">
              <w:rPr>
                <w:rStyle w:val="Hyperlink"/>
                <w:b/>
                <w:noProof/>
              </w:rPr>
              <w:t>Aftermath</w:t>
            </w:r>
            <w:r w:rsidRPr="00901868">
              <w:rPr>
                <w:b/>
                <w:noProof/>
                <w:webHidden/>
              </w:rPr>
              <w:tab/>
            </w:r>
            <w:r w:rsidRPr="00901868">
              <w:rPr>
                <w:b/>
                <w:noProof/>
                <w:webHidden/>
              </w:rPr>
              <w:fldChar w:fldCharType="begin"/>
            </w:r>
            <w:r w:rsidRPr="00901868">
              <w:rPr>
                <w:b/>
                <w:noProof/>
                <w:webHidden/>
              </w:rPr>
              <w:instrText xml:space="preserve"> PAGEREF _Toc102657513 \h </w:instrText>
            </w:r>
            <w:r w:rsidRPr="00901868">
              <w:rPr>
                <w:b/>
                <w:noProof/>
                <w:webHidden/>
              </w:rPr>
            </w:r>
            <w:r w:rsidRPr="00901868">
              <w:rPr>
                <w:b/>
                <w:noProof/>
                <w:webHidden/>
              </w:rPr>
              <w:fldChar w:fldCharType="separate"/>
            </w:r>
            <w:r w:rsidR="00F1536A">
              <w:rPr>
                <w:b/>
                <w:noProof/>
                <w:webHidden/>
              </w:rPr>
              <w:t>5</w:t>
            </w:r>
            <w:r w:rsidRPr="00901868">
              <w:rPr>
                <w:b/>
                <w:noProof/>
                <w:webHidden/>
              </w:rPr>
              <w:fldChar w:fldCharType="end"/>
            </w:r>
          </w:hyperlink>
        </w:p>
        <w:p w14:paraId="67605F09" w14:textId="028CDA5A" w:rsidR="00901868" w:rsidRPr="00901868" w:rsidRDefault="00901868">
          <w:pPr>
            <w:pStyle w:val="TOC1"/>
            <w:tabs>
              <w:tab w:val="right" w:leader="dot" w:pos="9350"/>
            </w:tabs>
            <w:rPr>
              <w:rFonts w:asciiTheme="minorHAnsi" w:eastAsiaTheme="minorEastAsia" w:hAnsiTheme="minorHAnsi" w:cstheme="minorBidi"/>
              <w:b/>
              <w:noProof/>
            </w:rPr>
          </w:pPr>
          <w:hyperlink w:anchor="_Toc102657514" w:history="1">
            <w:r w:rsidRPr="00901868">
              <w:rPr>
                <w:rStyle w:val="Hyperlink"/>
                <w:b/>
                <w:noProof/>
              </w:rPr>
              <w:t>References</w:t>
            </w:r>
            <w:r w:rsidRPr="00901868">
              <w:rPr>
                <w:b/>
                <w:noProof/>
                <w:webHidden/>
              </w:rPr>
              <w:tab/>
            </w:r>
            <w:r w:rsidRPr="00901868">
              <w:rPr>
                <w:b/>
                <w:noProof/>
                <w:webHidden/>
              </w:rPr>
              <w:fldChar w:fldCharType="begin"/>
            </w:r>
            <w:r w:rsidRPr="00901868">
              <w:rPr>
                <w:b/>
                <w:noProof/>
                <w:webHidden/>
              </w:rPr>
              <w:instrText xml:space="preserve"> PAGEREF _Toc102657514 \h </w:instrText>
            </w:r>
            <w:r w:rsidRPr="00901868">
              <w:rPr>
                <w:b/>
                <w:noProof/>
                <w:webHidden/>
              </w:rPr>
            </w:r>
            <w:r w:rsidRPr="00901868">
              <w:rPr>
                <w:b/>
                <w:noProof/>
                <w:webHidden/>
              </w:rPr>
              <w:fldChar w:fldCharType="separate"/>
            </w:r>
            <w:r w:rsidR="00F1536A">
              <w:rPr>
                <w:b/>
                <w:noProof/>
                <w:webHidden/>
              </w:rPr>
              <w:t>6</w:t>
            </w:r>
            <w:r w:rsidRPr="00901868">
              <w:rPr>
                <w:b/>
                <w:noProof/>
                <w:webHidden/>
              </w:rPr>
              <w:fldChar w:fldCharType="end"/>
            </w:r>
          </w:hyperlink>
        </w:p>
        <w:p w14:paraId="731F2144" w14:textId="772AD367" w:rsidR="00901868" w:rsidRPr="00901868" w:rsidRDefault="00901868" w:rsidP="00901868">
          <w:pPr>
            <w:rPr>
              <w:b/>
            </w:rPr>
          </w:pPr>
          <w:r w:rsidRPr="00901868">
            <w:rPr>
              <w:b/>
              <w:noProof/>
            </w:rPr>
            <w:fldChar w:fldCharType="end"/>
          </w:r>
        </w:p>
      </w:sdtContent>
    </w:sdt>
    <w:p w14:paraId="0C4C230B" w14:textId="77777777" w:rsidR="00901868" w:rsidRPr="00901868" w:rsidRDefault="00901868" w:rsidP="00901868">
      <w:pPr>
        <w:contextualSpacing w:val="0"/>
        <w:rPr>
          <w:b/>
          <w:u w:val="single"/>
        </w:rPr>
      </w:pPr>
      <w:r w:rsidRPr="00901868">
        <w:rPr>
          <w:b/>
          <w:u w:val="single"/>
        </w:rPr>
        <w:br w:type="page"/>
      </w:r>
    </w:p>
    <w:p w14:paraId="6E83B090" w14:textId="7B0866C1" w:rsidR="005F3444" w:rsidRPr="00E65EB0" w:rsidRDefault="005F3444" w:rsidP="005F3444">
      <w:pPr>
        <w:pStyle w:val="Heading1"/>
      </w:pPr>
      <w:bookmarkStart w:id="0" w:name="_Toc102657507"/>
      <w:r>
        <w:lastRenderedPageBreak/>
        <w:t>Summary</w:t>
      </w:r>
      <w:bookmarkEnd w:id="0"/>
    </w:p>
    <w:p w14:paraId="4D1979F3" w14:textId="57C22B34" w:rsidR="005F3444" w:rsidRDefault="005F3444" w:rsidP="005F3444"/>
    <w:p w14:paraId="65684002" w14:textId="7AB17BD1" w:rsidR="00302B2F" w:rsidRDefault="00971BE4" w:rsidP="005F3444">
      <w:r>
        <w:rPr>
          <w:noProof/>
        </w:rPr>
        <w:drawing>
          <wp:anchor distT="0" distB="0" distL="114300" distR="114300" simplePos="0" relativeHeight="251658240" behindDoc="0" locked="0" layoutInCell="1" allowOverlap="1" wp14:anchorId="446E7D8F" wp14:editId="667E9A38">
            <wp:simplePos x="0" y="0"/>
            <wp:positionH relativeFrom="margin">
              <wp:posOffset>4009390</wp:posOffset>
            </wp:positionH>
            <wp:positionV relativeFrom="margin">
              <wp:posOffset>358775</wp:posOffset>
            </wp:positionV>
            <wp:extent cx="1840230" cy="3008630"/>
            <wp:effectExtent l="0" t="0" r="1270" b="1270"/>
            <wp:wrapSquare wrapText="bothSides"/>
            <wp:docPr id="6" name="Picture 6"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a mustach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230" cy="3008630"/>
                    </a:xfrm>
                    <a:prstGeom prst="rect">
                      <a:avLst/>
                    </a:prstGeom>
                  </pic:spPr>
                </pic:pic>
              </a:graphicData>
            </a:graphic>
          </wp:anchor>
        </w:drawing>
      </w:r>
      <w:r w:rsidR="005F3444" w:rsidRPr="00675379">
        <w:t xml:space="preserve">The National Firearms Act of 1934 </w:t>
      </w:r>
      <w:r w:rsidR="005F3444">
        <w:t xml:space="preserve">(“NFA”) </w:t>
      </w:r>
      <w:r w:rsidR="005F3444" w:rsidRPr="00675379">
        <w:t>provided for “the taxation of manufacturers, importers, and dealers in certain firearms and machine guns, to tax the sale or other disposal of such weapons, and to restrict importation and regulate in</w:t>
      </w:r>
      <w:r w:rsidR="005F3444">
        <w:t>terstate transportation thereof (</w:t>
      </w:r>
      <w:r w:rsidR="005F3444" w:rsidRPr="00675379">
        <w:rPr>
          <w:i/>
        </w:rPr>
        <w:t>Congressional Record</w:t>
      </w:r>
      <w:r w:rsidR="005F3444">
        <w:t>, 73</w:t>
      </w:r>
      <w:r w:rsidR="005F3444" w:rsidRPr="00675379">
        <w:rPr>
          <w:vertAlign w:val="superscript"/>
        </w:rPr>
        <w:t>rd</w:t>
      </w:r>
      <w:r w:rsidR="005F3444">
        <w:t xml:space="preserve"> Congress, June 13, 1934, 11398).</w:t>
      </w:r>
      <w:r w:rsidR="005F3444" w:rsidRPr="00675379">
        <w:t>”</w:t>
      </w:r>
      <w:r w:rsidR="005F3444">
        <w:t xml:space="preserve"> It was the first piece of legislation passed by the U.S. Congress to regulate traffic and possession of machineguns and automatic weapons (Schrader 1995). </w:t>
      </w:r>
      <w:r w:rsidR="005F3444" w:rsidRPr="001F400E">
        <w:t xml:space="preserve">Attorney General Homer </w:t>
      </w:r>
      <w:proofErr w:type="spellStart"/>
      <w:r w:rsidR="005F3444" w:rsidRPr="001F400E">
        <w:t>Stille</w:t>
      </w:r>
      <w:proofErr w:type="spellEnd"/>
      <w:r w:rsidR="005F3444" w:rsidRPr="001F400E">
        <w:t xml:space="preserve"> Cummings called on Congress to enact stronger regulations on firearms in response to a high crime rate and cheap access to high powered weapons by criminals.</w:t>
      </w:r>
      <w:r w:rsidR="00302B2F">
        <w:rPr>
          <w:rStyle w:val="EndnoteReference"/>
        </w:rPr>
        <w:endnoteReference w:id="1"/>
      </w:r>
      <w:r w:rsidR="00302B2F" w:rsidRPr="001F400E">
        <w:t xml:space="preserve">  Opponents objected to the measure on the grounds that it represented too much government intrusion, that it would ultimately aid criminals and that it was too far reaching and severe.</w:t>
      </w:r>
      <w:r w:rsidR="00302B2F">
        <w:rPr>
          <w:rStyle w:val="EndnoteReference"/>
        </w:rPr>
        <w:endnoteReference w:id="2"/>
      </w:r>
    </w:p>
    <w:p w14:paraId="6B6C79AC" w14:textId="77777777" w:rsidR="00302B2F" w:rsidRDefault="00302B2F" w:rsidP="005F3444"/>
    <w:p w14:paraId="3B84995F" w14:textId="05E7F0B9" w:rsidR="00302B2F" w:rsidRDefault="00971BE4" w:rsidP="005F3444">
      <w:r>
        <w:rPr>
          <w:noProof/>
        </w:rPr>
        <mc:AlternateContent>
          <mc:Choice Requires="wps">
            <w:drawing>
              <wp:anchor distT="0" distB="0" distL="114300" distR="114300" simplePos="0" relativeHeight="251660288" behindDoc="0" locked="0" layoutInCell="1" allowOverlap="1" wp14:anchorId="70683259" wp14:editId="2E0A9CFC">
                <wp:simplePos x="0" y="0"/>
                <wp:positionH relativeFrom="column">
                  <wp:posOffset>4004310</wp:posOffset>
                </wp:positionH>
                <wp:positionV relativeFrom="paragraph">
                  <wp:posOffset>271145</wp:posOffset>
                </wp:positionV>
                <wp:extent cx="1840230" cy="1944370"/>
                <wp:effectExtent l="0" t="0" r="1270" b="0"/>
                <wp:wrapSquare wrapText="bothSides"/>
                <wp:docPr id="7" name="Text Box 7"/>
                <wp:cNvGraphicFramePr/>
                <a:graphic xmlns:a="http://schemas.openxmlformats.org/drawingml/2006/main">
                  <a:graphicData uri="http://schemas.microsoft.com/office/word/2010/wordprocessingShape">
                    <wps:wsp>
                      <wps:cNvSpPr txBox="1"/>
                      <wps:spPr>
                        <a:xfrm>
                          <a:off x="0" y="0"/>
                          <a:ext cx="1840230" cy="1944370"/>
                        </a:xfrm>
                        <a:prstGeom prst="rect">
                          <a:avLst/>
                        </a:prstGeom>
                        <a:solidFill>
                          <a:srgbClr val="DEECF8"/>
                        </a:solidFill>
                        <a:ln>
                          <a:noFill/>
                        </a:ln>
                      </wps:spPr>
                      <wps:txbx>
                        <w:txbxContent>
                          <w:p w14:paraId="41D6D968" w14:textId="5C816CD6" w:rsidR="00971BE4" w:rsidRPr="00971BE4" w:rsidRDefault="00971BE4" w:rsidP="00971BE4">
                            <w:pPr>
                              <w:contextualSpacing w:val="0"/>
                              <w:rPr>
                                <w:rFonts w:eastAsia="Times New Roman" w:cs="Times New Roman"/>
                                <w:color w:val="000000" w:themeColor="text1"/>
                                <w:sz w:val="22"/>
                              </w:rPr>
                            </w:pPr>
                            <w:r w:rsidRPr="00971BE4">
                              <w:rPr>
                                <w:rFonts w:eastAsia="Times New Roman" w:cs="Times New Roman"/>
                                <w:color w:val="000000" w:themeColor="text1"/>
                                <w:sz w:val="22"/>
                              </w:rPr>
                              <w:t>It was reported that the killing of gangster John Dillinger (above) in January 1934 played a role in galvanizing public support for the National Firearms Act of 1934 (see e.g. “Recent Successes against Criminals Strengthen Drive: Dillinger and Hauptmann Cases Do Much to Weld Public Sentiment,” </w:t>
                            </w:r>
                            <w:r w:rsidRPr="00971BE4">
                              <w:rPr>
                                <w:rFonts w:eastAsia="Times New Roman" w:cs="Times New Roman"/>
                                <w:i/>
                                <w:iCs/>
                                <w:color w:val="000000" w:themeColor="text1"/>
                                <w:sz w:val="22"/>
                              </w:rPr>
                              <w:t>Christian Science Monitor</w:t>
                            </w:r>
                            <w:r w:rsidRPr="00971BE4">
                              <w:rPr>
                                <w:rFonts w:eastAsia="Times New Roman" w:cs="Times New Roman"/>
                                <w:color w:val="000000" w:themeColor="text1"/>
                                <w:sz w:val="22"/>
                              </w:rPr>
                              <w:t>, September 24, 1934)</w:t>
                            </w:r>
                            <w:r>
                              <w:rPr>
                                <w:rFonts w:eastAsia="Times New Roman" w:cs="Times New Roman"/>
                                <w:color w:val="000000" w:themeColor="text1"/>
                                <w:sz w:val="22"/>
                              </w:rPr>
                              <w:t>.</w:t>
                            </w:r>
                          </w:p>
                          <w:p w14:paraId="0BA2CF8F" w14:textId="2D6099DB" w:rsidR="00971BE4" w:rsidRPr="00DE1791" w:rsidRDefault="00971BE4" w:rsidP="00971BE4">
                            <w:pPr>
                              <w:pStyle w:val="Caption"/>
                              <w:rPr>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83259" id="_x0000_t202" coordsize="21600,21600" o:spt="202" path="m,l,21600r21600,l21600,xe">
                <v:stroke joinstyle="miter"/>
                <v:path gradientshapeok="t" o:connecttype="rect"/>
              </v:shapetype>
              <v:shape id="Text Box 7" o:spid="_x0000_s1026" type="#_x0000_t202" style="position:absolute;margin-left:315.3pt;margin-top:21.35pt;width:144.9pt;height:15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" fillcolor="#deecf8" stroked="f">
                <v:textbox inset="0,0,0,0">
                  <w:txbxContent>
                    <w:p w14:paraId="41D6D968" w14:textId="5C816CD6" w:rsidR="00971BE4" w:rsidRPr="00971BE4" w:rsidRDefault="00971BE4" w:rsidP="00971BE4">
                      <w:pPr>
                        <w:contextualSpacing w:val="0"/>
                        <w:rPr>
                          <w:rFonts w:eastAsia="Times New Roman" w:cs="Times New Roman"/>
                          <w:color w:val="000000" w:themeColor="text1"/>
                          <w:sz w:val="22"/>
                        </w:rPr>
                      </w:pPr>
                      <w:r w:rsidRPr="00971BE4">
                        <w:rPr>
                          <w:rFonts w:eastAsia="Times New Roman" w:cs="Times New Roman"/>
                          <w:color w:val="000000" w:themeColor="text1"/>
                          <w:sz w:val="22"/>
                        </w:rPr>
                        <w:t>It was reported that the killing of gangster John Dillinger (above) in January 1934 played a role in galvanizing public support for the National Firearms Act of 1934 (see e.g. “Recent Successes against Criminals Strengthen Drive: Dillinger and Hauptmann Cases Do Much to Weld Public Sentiment,” </w:t>
                      </w:r>
                      <w:r w:rsidRPr="00971BE4">
                        <w:rPr>
                          <w:rFonts w:eastAsia="Times New Roman" w:cs="Times New Roman"/>
                          <w:i/>
                          <w:iCs/>
                          <w:color w:val="000000" w:themeColor="text1"/>
                          <w:sz w:val="22"/>
                        </w:rPr>
                        <w:t>Christian Science Monitor</w:t>
                      </w:r>
                      <w:r w:rsidRPr="00971BE4">
                        <w:rPr>
                          <w:rFonts w:eastAsia="Times New Roman" w:cs="Times New Roman"/>
                          <w:color w:val="000000" w:themeColor="text1"/>
                          <w:sz w:val="22"/>
                        </w:rPr>
                        <w:t>, September 24, 1934)</w:t>
                      </w:r>
                      <w:r>
                        <w:rPr>
                          <w:rFonts w:eastAsia="Times New Roman" w:cs="Times New Roman"/>
                          <w:color w:val="000000" w:themeColor="text1"/>
                          <w:sz w:val="22"/>
                        </w:rPr>
                        <w:t>.</w:t>
                      </w:r>
                    </w:p>
                    <w:p w14:paraId="0BA2CF8F" w14:textId="2D6099DB" w:rsidR="00971BE4" w:rsidRPr="00DE1791" w:rsidRDefault="00971BE4" w:rsidP="00971BE4">
                      <w:pPr>
                        <w:pStyle w:val="Caption"/>
                        <w:rPr>
                          <w:noProof/>
                          <w:szCs w:val="22"/>
                        </w:rPr>
                      </w:pPr>
                    </w:p>
                  </w:txbxContent>
                </v:textbox>
                <w10:wrap type="square"/>
              </v:shape>
            </w:pict>
          </mc:Fallback>
        </mc:AlternateContent>
      </w:r>
      <w:r w:rsidR="00302B2F" w:rsidRPr="00675379">
        <w:t xml:space="preserve">The </w:t>
      </w:r>
      <w:r w:rsidR="00302B2F" w:rsidRPr="001F400E">
        <w:t>National Firearms Act of 1934</w:t>
      </w:r>
      <w:r w:rsidR="00302B2F">
        <w:t xml:space="preserve"> </w:t>
      </w:r>
      <w:r w:rsidR="00302B2F" w:rsidRPr="00675379">
        <w:t xml:space="preserve">was not listed as landmark by </w:t>
      </w:r>
      <w:proofErr w:type="spellStart"/>
      <w:r w:rsidR="00302B2F" w:rsidRPr="00675379">
        <w:t>Stathis</w:t>
      </w:r>
      <w:proofErr w:type="spellEnd"/>
      <w:r w:rsidR="00302B2F" w:rsidRPr="00675379">
        <w:t xml:space="preserve"> (2003) or Petersen (2001) </w:t>
      </w:r>
      <w:r w:rsidR="00302B2F">
        <w:t>and</w:t>
      </w:r>
      <w:r w:rsidR="00302B2F" w:rsidRPr="00675379">
        <w:t xml:space="preserve"> was rated the </w:t>
      </w:r>
      <w:r w:rsidR="00302B2F">
        <w:t>140th</w:t>
      </w:r>
      <w:r w:rsidR="00302B2F" w:rsidRPr="00675379">
        <w:t xml:space="preserve"> most important enactment of the 58th Congress by Clinton and </w:t>
      </w:r>
      <w:proofErr w:type="spellStart"/>
      <w:r w:rsidR="00302B2F" w:rsidRPr="00675379">
        <w:t>Lapinski</w:t>
      </w:r>
      <w:proofErr w:type="spellEnd"/>
      <w:r w:rsidR="00302B2F" w:rsidRPr="00675379">
        <w:t xml:space="preserve"> (2006).</w:t>
      </w:r>
      <w:r w:rsidR="00302B2F">
        <w:t xml:space="preserve"> </w:t>
      </w:r>
      <w:r w:rsidR="00302B2F" w:rsidRPr="007D524F">
        <w:t>The act was reenacted a</w:t>
      </w:r>
      <w:r w:rsidR="00302B2F">
        <w:t>s</w:t>
      </w:r>
      <w:r w:rsidR="00302B2F" w:rsidRPr="007D524F">
        <w:t xml:space="preserve"> Title II of the Gun Control Act of 1968 (</w:t>
      </w:r>
      <w:r w:rsidR="00302B2F">
        <w:t>60 PL 618) (</w:t>
      </w:r>
      <w:r w:rsidR="00302B2F" w:rsidRPr="007D524F">
        <w:t xml:space="preserve">Schrader 1995). </w:t>
      </w:r>
      <w:r w:rsidR="00302B2F" w:rsidRPr="00675379">
        <w:t xml:space="preserve">The only relevant Supreme Court case in relation to this act was United States v. Miller, 307 U.S. 174 (1939). In it, a unanimous court decided the NFA was constitutional and that the second amendment provided no right to own a </w:t>
      </w:r>
      <w:proofErr w:type="gramStart"/>
      <w:r w:rsidR="00302B2F" w:rsidRPr="00675379">
        <w:t>sawed off</w:t>
      </w:r>
      <w:proofErr w:type="gramEnd"/>
      <w:r w:rsidR="00302B2F" w:rsidRPr="00675379">
        <w:t xml:space="preserve"> shotgun (Chu 2013; Schrader 1995).</w:t>
      </w:r>
    </w:p>
    <w:p w14:paraId="68FC9BEA" w14:textId="77777777" w:rsidR="00302B2F" w:rsidRDefault="00302B2F" w:rsidP="005F3444"/>
    <w:p w14:paraId="3DF64802" w14:textId="77777777" w:rsidR="00302B2F" w:rsidRDefault="00302B2F" w:rsidP="005F3444">
      <w:pPr>
        <w:contextualSpacing w:val="0"/>
        <w:rPr>
          <w:b/>
          <w:u w:val="single"/>
        </w:rPr>
      </w:pPr>
      <w:r>
        <w:rPr>
          <w:b/>
          <w:u w:val="single"/>
        </w:rPr>
        <w:br w:type="page"/>
      </w:r>
    </w:p>
    <w:p w14:paraId="2C355310" w14:textId="77777777" w:rsidR="00302B2F" w:rsidRPr="00E65EB0" w:rsidRDefault="00302B2F" w:rsidP="005F3444">
      <w:pPr>
        <w:pStyle w:val="Heading1"/>
      </w:pPr>
      <w:bookmarkStart w:id="1" w:name="_Toc102657508"/>
      <w:r w:rsidRPr="00E65EB0">
        <w:lastRenderedPageBreak/>
        <w:t>Background</w:t>
      </w:r>
      <w:bookmarkEnd w:id="1"/>
    </w:p>
    <w:p w14:paraId="14C05A97" w14:textId="77777777" w:rsidR="00302B2F" w:rsidRDefault="00302B2F" w:rsidP="005F3444"/>
    <w:p w14:paraId="32601B2A" w14:textId="2C67D67E" w:rsidR="00302B2F" w:rsidRDefault="00302B2F" w:rsidP="005F3444">
      <w:r>
        <w:t>The NFA was enacted in the second session of the 73</w:t>
      </w:r>
      <w:r w:rsidRPr="001F400E">
        <w:rPr>
          <w:vertAlign w:val="superscript"/>
        </w:rPr>
        <w:t>rd</w:t>
      </w:r>
      <w:r>
        <w:t xml:space="preserve"> Congress, which met from March 4, </w:t>
      </w:r>
      <w:r w:rsidR="00063549">
        <w:t>1933,</w:t>
      </w:r>
      <w:r>
        <w:t xml:space="preserve"> to January 3, 1935. The country was devastated with the effects of the Great Depression, which included the stock market crash, a 25% unemployment rate, and land foreclosures on farmland (Cohen 2009). Democrat Franklin Delano Roosevelt won the 1932 presidential election against incumbent Republican Herbert Hoover. The first 100 days of Roosevelt’s term, dubbed the Hundred Days Congress, was an effort to pass emergency legislation to combat the economic chaos of the Great Depression.</w:t>
      </w:r>
      <w:r>
        <w:rPr>
          <w:rStyle w:val="EndnoteReference"/>
        </w:rPr>
        <w:endnoteReference w:id="3"/>
      </w:r>
      <w:r>
        <w:t xml:space="preserve"> The Democrats held a 313-117 seat advantage in the House</w:t>
      </w:r>
      <w:r>
        <w:rPr>
          <w:rStyle w:val="EndnoteReference"/>
        </w:rPr>
        <w:endnoteReference w:id="4"/>
      </w:r>
      <w:r>
        <w:t xml:space="preserve"> and a 59-36 advantage in the Senate.</w:t>
      </w:r>
      <w:r>
        <w:rPr>
          <w:rStyle w:val="EndnoteReference"/>
        </w:rPr>
        <w:endnoteReference w:id="5"/>
      </w:r>
    </w:p>
    <w:p w14:paraId="2BFED89A" w14:textId="77777777" w:rsidR="00302B2F" w:rsidRDefault="00302B2F" w:rsidP="005F3444"/>
    <w:p w14:paraId="6AC84437" w14:textId="46DEC846" w:rsidR="00302B2F" w:rsidRDefault="00302B2F" w:rsidP="005F3444">
      <w:r>
        <w:t>Legislation to curb and tax firearms sales had been introduced in previous congresses, though they received scant attention.</w:t>
      </w:r>
      <w:r>
        <w:rPr>
          <w:rStyle w:val="EndnoteReference"/>
        </w:rPr>
        <w:endnoteReference w:id="6"/>
      </w:r>
      <w:r>
        <w:t xml:space="preserve"> Pressure from lobbyists, the Roosevelt administration and the press had grown throughout 1933 and 1934. Early in the second session, there were five bills in the Senate on the issue,</w:t>
      </w:r>
      <w:r>
        <w:rPr>
          <w:rStyle w:val="EndnoteReference"/>
        </w:rPr>
        <w:endnoteReference w:id="7"/>
      </w:r>
      <w:r>
        <w:t xml:space="preserve"> one in the House and the Washington Post noted that Senator </w:t>
      </w:r>
      <w:hyperlink r:id="rId9" w:history="1">
        <w:r w:rsidRPr="00C060EF">
          <w:rPr>
            <w:rStyle w:val="Hyperlink"/>
          </w:rPr>
          <w:t>Royal Copeland</w:t>
        </w:r>
      </w:hyperlink>
      <w:r>
        <w:t xml:space="preserve"> (D-NY) had introduced fourteen more measures himself.</w:t>
      </w:r>
      <w:r>
        <w:rPr>
          <w:rStyle w:val="EndnoteReference"/>
        </w:rPr>
        <w:endnoteReference w:id="8"/>
      </w:r>
      <w:r>
        <w:t xml:space="preserve"> The bill that seemed to generate the most attention was HR 9066, a measure introduced by the House Judiciary Committee Chairman, Representative </w:t>
      </w:r>
      <w:hyperlink r:id="rId10" w:history="1">
        <w:r w:rsidRPr="00C060EF">
          <w:rPr>
            <w:rStyle w:val="Hyperlink"/>
          </w:rPr>
          <w:t xml:space="preserve">Hatton William </w:t>
        </w:r>
        <w:proofErr w:type="spellStart"/>
        <w:r w:rsidRPr="00C060EF">
          <w:rPr>
            <w:rStyle w:val="Hyperlink"/>
          </w:rPr>
          <w:t>Sumners</w:t>
        </w:r>
        <w:proofErr w:type="spellEnd"/>
      </w:hyperlink>
      <w:r>
        <w:t xml:space="preserve"> (D-TX).</w:t>
      </w:r>
    </w:p>
    <w:p w14:paraId="1FEDDBA2" w14:textId="77777777" w:rsidR="00302B2F" w:rsidRDefault="00302B2F" w:rsidP="005F3444"/>
    <w:p w14:paraId="030F8DD4" w14:textId="4CEE70C3" w:rsidR="00302B2F" w:rsidRDefault="00302B2F" w:rsidP="005F3444">
      <w:proofErr w:type="spellStart"/>
      <w:r>
        <w:t>Sumners</w:t>
      </w:r>
      <w:proofErr w:type="spellEnd"/>
      <w:r>
        <w:t xml:space="preserve">’ bill </w:t>
      </w:r>
      <w:r w:rsidRPr="003071AC">
        <w:t>included a $5,000 a year tax on importers or manufactures of firearms, a $200 a year tax on dealers, a $200 fee for each machine gun sold and one dollar on any other firearm. Additionally, the measure defined “firearms” broadly, including both pistols and revolvers, in addition to machine guns, sawed off shot guns and rifles and guns with barrels less than 18 inches in length, mufflers and silencers. The inclusion of pistols and revolvers was hotly contested.</w:t>
      </w:r>
      <w:r>
        <w:t xml:space="preserve"> </w:t>
      </w:r>
      <w:r w:rsidRPr="003071AC">
        <w:t xml:space="preserve">The National Rifle Association lobbied hard against the measure, with a particular focus on the inclusion of pistols and revolvers. They argued the measure represented an unconstitutional violation of the second amendment to the </w:t>
      </w:r>
      <w:r w:rsidR="00203940" w:rsidRPr="003071AC">
        <w:t>Constitution and</w:t>
      </w:r>
      <w:r w:rsidRPr="003071AC">
        <w:t xml:space="preserve"> suggested it would harm individual’s abilities to protect themselves.</w:t>
      </w:r>
      <w:r>
        <w:rPr>
          <w:rStyle w:val="EndnoteReference"/>
        </w:rPr>
        <w:endnoteReference w:id="9"/>
      </w:r>
      <w:r w:rsidRPr="003071AC">
        <w:t xml:space="preserve"> In contrast, the provision was strongly supported for the General Federation of Women’s Clubs lobbied aggressively for its inclusion.</w:t>
      </w:r>
      <w:r>
        <w:rPr>
          <w:rStyle w:val="EndnoteReference"/>
        </w:rPr>
        <w:endnoteReference w:id="10"/>
      </w:r>
    </w:p>
    <w:p w14:paraId="06C0A56F" w14:textId="77777777" w:rsidR="00302B2F" w:rsidRDefault="00302B2F" w:rsidP="005F3444"/>
    <w:p w14:paraId="27973545" w14:textId="288E6BC0" w:rsidR="00302B2F" w:rsidRDefault="00302B2F" w:rsidP="005F3444">
      <w:r w:rsidRPr="003071AC">
        <w:t xml:space="preserve">In late </w:t>
      </w:r>
      <w:r w:rsidR="00203940" w:rsidRPr="003071AC">
        <w:t>May</w:t>
      </w:r>
      <w:r w:rsidRPr="003071AC">
        <w:t xml:space="preserve"> 1934, the House backed a new measure, introduced by Representative </w:t>
      </w:r>
      <w:hyperlink r:id="rId11" w:history="1">
        <w:r w:rsidRPr="003F4E8D">
          <w:rPr>
            <w:rStyle w:val="Hyperlink"/>
          </w:rPr>
          <w:t>Robert Lee Doughton</w:t>
        </w:r>
      </w:hyperlink>
      <w:r w:rsidRPr="003071AC">
        <w:t xml:space="preserve"> (D-NC), the Ways and Means Committee Chairman. This bill, HR 9741, dropped pistols and revolvers and lowered the tax on manufactures of firearms from $5,000 to $1,000. Assistant Attorney General Joseph B. Keenan referred to these changes as a “joke” and bill supporters were angry. Nonetheless, this measure moved quickly through the House. Introduced by Doughton on May 23, 1934, it was reported out of the Ways and Means Committee five days </w:t>
      </w:r>
      <w:proofErr w:type="gramStart"/>
      <w:r w:rsidRPr="003071AC">
        <w:t>later on</w:t>
      </w:r>
      <w:proofErr w:type="gramEnd"/>
      <w:r w:rsidRPr="003071AC">
        <w:t xml:space="preserve"> May 25th.</w:t>
      </w:r>
      <w:r>
        <w:rPr>
          <w:rStyle w:val="EndnoteReference"/>
        </w:rPr>
        <w:endnoteReference w:id="11"/>
      </w:r>
    </w:p>
    <w:p w14:paraId="6EE36D66" w14:textId="1FE59C3D" w:rsidR="00302B2F" w:rsidRDefault="00302B2F" w:rsidP="005F3444"/>
    <w:p w14:paraId="46A794CB" w14:textId="26041846" w:rsidR="00D34A67" w:rsidRDefault="00D34A67" w:rsidP="005F3444"/>
    <w:p w14:paraId="0623F7D2" w14:textId="68D2F62A" w:rsidR="00D34A67" w:rsidRDefault="00D34A67" w:rsidP="005F3444"/>
    <w:p w14:paraId="003AA5A5" w14:textId="14C19607" w:rsidR="00D34A67" w:rsidRDefault="00D34A67" w:rsidP="005F3444"/>
    <w:p w14:paraId="61A553D2" w14:textId="5586198F" w:rsidR="00D34A67" w:rsidRDefault="00D34A67" w:rsidP="005F3444"/>
    <w:p w14:paraId="148F536D" w14:textId="2F9688B5" w:rsidR="00D34A67" w:rsidRDefault="00D34A67" w:rsidP="005F3444"/>
    <w:p w14:paraId="3D0764AA" w14:textId="4E8DA5E3" w:rsidR="00D34A67" w:rsidRDefault="00D34A67" w:rsidP="005F3444"/>
    <w:p w14:paraId="2B21D66C" w14:textId="77777777" w:rsidR="00D34A67" w:rsidRDefault="00D34A67" w:rsidP="005F3444"/>
    <w:p w14:paraId="25E8CEBD" w14:textId="77777777" w:rsidR="00302B2F" w:rsidRPr="00C3741E" w:rsidRDefault="00302B2F" w:rsidP="005F3444">
      <w:pPr>
        <w:pStyle w:val="Heading1"/>
      </w:pPr>
      <w:bookmarkStart w:id="2" w:name="_Toc102657509"/>
      <w:r w:rsidRPr="00C3741E">
        <w:lastRenderedPageBreak/>
        <w:t>Initial House Consideration (</w:t>
      </w:r>
      <w:r>
        <w:t>June 13, 1934)</w:t>
      </w:r>
      <w:bookmarkEnd w:id="2"/>
    </w:p>
    <w:p w14:paraId="6F500173" w14:textId="77777777" w:rsidR="00302B2F" w:rsidRDefault="00302B2F" w:rsidP="005F3444"/>
    <w:p w14:paraId="6B547BFB" w14:textId="77777777" w:rsidR="00302B2F" w:rsidRPr="003071AC" w:rsidRDefault="00302B2F" w:rsidP="005F3444">
      <w:r w:rsidRPr="003071AC">
        <w:t>On June 13</w:t>
      </w:r>
      <w:r w:rsidRPr="003071AC">
        <w:rPr>
          <w:vertAlign w:val="superscript"/>
        </w:rPr>
        <w:t>th</w:t>
      </w:r>
      <w:r w:rsidRPr="003071AC">
        <w:t xml:space="preserve">, Doughton moved the House suspend the rules and pass the bill. He gave a short speech in its favor, noting that: </w:t>
      </w:r>
    </w:p>
    <w:p w14:paraId="232538E8" w14:textId="77777777" w:rsidR="00302B2F" w:rsidRPr="003071AC" w:rsidRDefault="00302B2F" w:rsidP="005F3444"/>
    <w:p w14:paraId="6604E556" w14:textId="77777777" w:rsidR="00302B2F" w:rsidRPr="003071AC" w:rsidRDefault="00302B2F" w:rsidP="005F3444">
      <w:pPr>
        <w:ind w:left="720"/>
      </w:pPr>
      <w:r w:rsidRPr="003071AC">
        <w:t xml:space="preserve">For some </w:t>
      </w:r>
      <w:proofErr w:type="gramStart"/>
      <w:r w:rsidRPr="003071AC">
        <w:t>time</w:t>
      </w:r>
      <w:proofErr w:type="gramEnd"/>
      <w:r w:rsidRPr="003071AC">
        <w:t xml:space="preserve"> this country has been at the mercy of the gangsters, racketeers, and professional criminals. The rapidity with which they can go across State lines has become a real menace to the law-abiding people of this country. When the bill was first proposed by the Department of Justice it affected pistols and revolvers, but that provision was eliminated from the bill, and it now only relates to machine guns and sawed-off shotguns and rifles, or guns with barrels less than 18 inches in length, and to mufflers, and to silencers (</w:t>
      </w:r>
      <w:r w:rsidRPr="003071AC">
        <w:rPr>
          <w:i/>
        </w:rPr>
        <w:t>Congressional Record</w:t>
      </w:r>
      <w:r w:rsidRPr="003071AC">
        <w:t>, 73</w:t>
      </w:r>
      <w:r w:rsidRPr="003071AC">
        <w:rPr>
          <w:vertAlign w:val="superscript"/>
        </w:rPr>
        <w:t>rd</w:t>
      </w:r>
      <w:r w:rsidRPr="003071AC">
        <w:t xml:space="preserve"> Congress, June 13, 1934, 11400).</w:t>
      </w:r>
    </w:p>
    <w:p w14:paraId="64DEF1E7" w14:textId="77777777" w:rsidR="00302B2F" w:rsidRPr="003071AC" w:rsidRDefault="00302B2F" w:rsidP="005F3444"/>
    <w:p w14:paraId="215514CA" w14:textId="32DCFC54" w:rsidR="00302B2F" w:rsidRDefault="00302B2F" w:rsidP="005F3444">
      <w:r w:rsidRPr="003071AC">
        <w:t>He also noted that pistols and revolvers had been removed from the measure, arguing that despite the protest of ladies groups the “majority of the committee were of the opinion, however, that the ordinary, law-abiding citizen who feels that a pistol or a revolver is essential in his home for the protection of himself and his family should not be classed with criminals, racketeers, and gangsters; should not be compelled to register his firearms and have his fingerprints taken and be placed in the same class with gangsters, racketeers, and those who are known as criminals (</w:t>
      </w:r>
      <w:r w:rsidRPr="003071AC">
        <w:rPr>
          <w:i/>
        </w:rPr>
        <w:t>Congressional Record</w:t>
      </w:r>
      <w:r w:rsidRPr="003071AC">
        <w:t>, 73</w:t>
      </w:r>
      <w:r w:rsidRPr="003071AC">
        <w:rPr>
          <w:vertAlign w:val="superscript"/>
        </w:rPr>
        <w:t>rd</w:t>
      </w:r>
      <w:r w:rsidRPr="003071AC">
        <w:t xml:space="preserve"> Congress, June 13, 1934, 11400).” The motion to suspend the rules and pass HR 9741 was agreed to via voice vote. </w:t>
      </w:r>
    </w:p>
    <w:p w14:paraId="580B445A" w14:textId="77777777" w:rsidR="00302B2F" w:rsidRPr="003071AC" w:rsidRDefault="00302B2F" w:rsidP="005F3444">
      <w:pPr>
        <w:pStyle w:val="Heading1"/>
      </w:pPr>
      <w:bookmarkStart w:id="3" w:name="_Toc102657510"/>
      <w:r w:rsidRPr="00C3741E">
        <w:t xml:space="preserve">Initial </w:t>
      </w:r>
      <w:r>
        <w:t>Senate</w:t>
      </w:r>
      <w:r w:rsidRPr="00C3741E">
        <w:t xml:space="preserve"> Consideration (June 1</w:t>
      </w:r>
      <w:r>
        <w:t>8</w:t>
      </w:r>
      <w:r w:rsidRPr="00C3741E">
        <w:t>, 1934)</w:t>
      </w:r>
      <w:bookmarkEnd w:id="3"/>
    </w:p>
    <w:p w14:paraId="434A08A9" w14:textId="77777777" w:rsidR="00302B2F" w:rsidRPr="003071AC" w:rsidRDefault="00302B2F" w:rsidP="005F3444"/>
    <w:p w14:paraId="1914A02D" w14:textId="5069170E" w:rsidR="00302B2F" w:rsidRDefault="00302B2F" w:rsidP="005F3444">
      <w:r w:rsidRPr="003071AC">
        <w:t>HR 9741 was referred to the Senate Finance Committee on June 14</w:t>
      </w:r>
      <w:r w:rsidRPr="003071AC">
        <w:rPr>
          <w:vertAlign w:val="superscript"/>
        </w:rPr>
        <w:t>th</w:t>
      </w:r>
      <w:r w:rsidRPr="003071AC">
        <w:t xml:space="preserve">. It was reported out the following day. On June 16th, Senate Finance Committee Chairman </w:t>
      </w:r>
      <w:hyperlink r:id="rId12" w:history="1">
        <w:r w:rsidRPr="00427E9D">
          <w:rPr>
            <w:rStyle w:val="Hyperlink"/>
          </w:rPr>
          <w:t>Pat Harrison</w:t>
        </w:r>
      </w:hyperlink>
      <w:r w:rsidRPr="003071AC">
        <w:t xml:space="preserve"> (D-MS) asked unanimous consent the bill be considered. This was objected to by the minority leader, Senator </w:t>
      </w:r>
      <w:hyperlink r:id="rId13" w:history="1">
        <w:r w:rsidRPr="00427E9D">
          <w:rPr>
            <w:rStyle w:val="Hyperlink"/>
          </w:rPr>
          <w:t>Charles McNary</w:t>
        </w:r>
      </w:hyperlink>
      <w:r w:rsidRPr="003071AC">
        <w:t xml:space="preserve"> (R-OR). On June 18</w:t>
      </w:r>
      <w:r w:rsidRPr="003071AC">
        <w:rPr>
          <w:vertAlign w:val="superscript"/>
        </w:rPr>
        <w:t>th</w:t>
      </w:r>
      <w:r w:rsidRPr="003071AC">
        <w:t xml:space="preserve">, Harrison received unanimous consent the bill be considered. With no floor debate, a committee amendment that lowered the tax on importers and manufacturers of machine guns from 1000 to 500 dollars was adopted without objected. Another amendment, by Senator </w:t>
      </w:r>
      <w:hyperlink r:id="rId14" w:history="1">
        <w:r w:rsidRPr="00427E9D">
          <w:rPr>
            <w:rStyle w:val="Hyperlink"/>
          </w:rPr>
          <w:t>Thomas Pr</w:t>
        </w:r>
        <w:r w:rsidR="00427E9D" w:rsidRPr="00427E9D">
          <w:rPr>
            <w:rStyle w:val="Hyperlink"/>
          </w:rPr>
          <w:t>y</w:t>
        </w:r>
        <w:r w:rsidRPr="00427E9D">
          <w:rPr>
            <w:rStyle w:val="Hyperlink"/>
          </w:rPr>
          <w:t>or Gore</w:t>
        </w:r>
      </w:hyperlink>
      <w:r w:rsidRPr="003071AC">
        <w:t xml:space="preserve"> (D-OK), that dealt with tariff rates on alcohol was also adopted without objected. The bill was then passed by the Senate.</w:t>
      </w:r>
    </w:p>
    <w:p w14:paraId="4751A335" w14:textId="77777777" w:rsidR="00302B2F" w:rsidRPr="00C3741E" w:rsidRDefault="00302B2F" w:rsidP="005F3444">
      <w:pPr>
        <w:pStyle w:val="Heading1"/>
      </w:pPr>
      <w:bookmarkStart w:id="4" w:name="_Toc102657511"/>
      <w:r>
        <w:t>Secondary House</w:t>
      </w:r>
      <w:r w:rsidRPr="00C3741E">
        <w:t xml:space="preserve"> Consideration (June 18, 1934)</w:t>
      </w:r>
      <w:bookmarkEnd w:id="4"/>
    </w:p>
    <w:p w14:paraId="21EEFF53" w14:textId="77777777" w:rsidR="00302B2F" w:rsidRPr="003071AC" w:rsidRDefault="00302B2F" w:rsidP="005F3444"/>
    <w:p w14:paraId="06C39BC4" w14:textId="4B55C96D" w:rsidR="00302B2F" w:rsidRDefault="00302B2F" w:rsidP="005F3444">
      <w:r w:rsidRPr="003071AC">
        <w:t xml:space="preserve">The House debated the Senate bill later that day, with Representative </w:t>
      </w:r>
      <w:hyperlink r:id="rId15" w:history="1">
        <w:r w:rsidRPr="00354418">
          <w:rPr>
            <w:rStyle w:val="Hyperlink"/>
          </w:rPr>
          <w:t>Samuel B. Hill</w:t>
        </w:r>
      </w:hyperlink>
      <w:r w:rsidRPr="003071AC">
        <w:t xml:space="preserve"> (D-WA) noting that “The National Rifle Association approves [of the bill] (</w:t>
      </w:r>
      <w:r w:rsidRPr="003071AC">
        <w:rPr>
          <w:i/>
        </w:rPr>
        <w:t>Congressional Record</w:t>
      </w:r>
      <w:r w:rsidRPr="003071AC">
        <w:t>, 73</w:t>
      </w:r>
      <w:r w:rsidRPr="003071AC">
        <w:rPr>
          <w:vertAlign w:val="superscript"/>
        </w:rPr>
        <w:t>rd</w:t>
      </w:r>
      <w:r w:rsidRPr="003071AC">
        <w:t xml:space="preserve"> Congress, June 18, 1934, 12555).” The</w:t>
      </w:r>
      <w:r>
        <w:t>y</w:t>
      </w:r>
      <w:r w:rsidRPr="003071AC">
        <w:t xml:space="preserve"> concurred in the Senate’s amendment lowering the tax on importers and exporters to 500 dollars by voice vote. The</w:t>
      </w:r>
      <w:r>
        <w:t>y</w:t>
      </w:r>
      <w:r w:rsidRPr="003071AC">
        <w:t xml:space="preserve"> disagreed with Gore’s amendment, however, and asked for a conference. </w:t>
      </w:r>
    </w:p>
    <w:p w14:paraId="193B6E92" w14:textId="77777777" w:rsidR="00302B2F" w:rsidRPr="00C3741E" w:rsidRDefault="00302B2F" w:rsidP="005F3444">
      <w:pPr>
        <w:pStyle w:val="Heading1"/>
      </w:pPr>
      <w:bookmarkStart w:id="5" w:name="_Toc102657512"/>
      <w:r w:rsidRPr="00C3741E">
        <w:t xml:space="preserve">Secondary </w:t>
      </w:r>
      <w:r>
        <w:t>Senate</w:t>
      </w:r>
      <w:r w:rsidRPr="00C3741E">
        <w:t xml:space="preserve"> Consideration (June 18, 1934)</w:t>
      </w:r>
      <w:bookmarkEnd w:id="5"/>
    </w:p>
    <w:p w14:paraId="180D8BA4" w14:textId="77777777" w:rsidR="00302B2F" w:rsidRDefault="00302B2F" w:rsidP="005F3444"/>
    <w:p w14:paraId="5AB2D9AF" w14:textId="77777777" w:rsidR="00302B2F" w:rsidRDefault="00302B2F" w:rsidP="005F3444">
      <w:r w:rsidRPr="003071AC">
        <w:t xml:space="preserve">Instead of appointing conferees, the Senate receded from Gore’s amendment by voice vote. They passed S Con Res 24 by voice vote shortly afterwards, which authorized and directed the enrollment of HR 9741. </w:t>
      </w:r>
    </w:p>
    <w:p w14:paraId="1A55F6E1" w14:textId="77777777" w:rsidR="00302B2F" w:rsidRDefault="00302B2F" w:rsidP="005F3444"/>
    <w:p w14:paraId="6EECC338" w14:textId="77777777" w:rsidR="00302B2F" w:rsidRPr="007D3729" w:rsidRDefault="00302B2F" w:rsidP="005F3444">
      <w:pPr>
        <w:pStyle w:val="Heading1"/>
      </w:pPr>
      <w:bookmarkStart w:id="6" w:name="_Toc102657513"/>
      <w:r w:rsidRPr="007D3729">
        <w:lastRenderedPageBreak/>
        <w:t>Aftermath</w:t>
      </w:r>
      <w:bookmarkEnd w:id="6"/>
    </w:p>
    <w:p w14:paraId="0C0A1F00" w14:textId="77777777" w:rsidR="00302B2F" w:rsidRPr="003071AC" w:rsidRDefault="00302B2F" w:rsidP="005F3444"/>
    <w:p w14:paraId="7B540CF3" w14:textId="77777777" w:rsidR="00302B2F" w:rsidRPr="003071AC" w:rsidRDefault="00302B2F" w:rsidP="005F3444">
      <w:r w:rsidRPr="003071AC">
        <w:t xml:space="preserve">The President signed HR 9741 (73 PL </w:t>
      </w:r>
      <w:r>
        <w:t>474</w:t>
      </w:r>
      <w:r w:rsidRPr="003071AC">
        <w:t>) into law on June 18</w:t>
      </w:r>
      <w:r w:rsidRPr="003071AC">
        <w:rPr>
          <w:vertAlign w:val="superscript"/>
        </w:rPr>
        <w:t>th</w:t>
      </w:r>
      <w:r w:rsidRPr="003071AC">
        <w:t xml:space="preserve">, 1934. </w:t>
      </w:r>
      <w:r>
        <w:t xml:space="preserve">There were no recorded votes in either chamber and just two amendments in the Senate. </w:t>
      </w:r>
      <w:r w:rsidRPr="003071AC">
        <w:t>The Treasury Department announced the act would be effect on August 10th and the first taxes would be due August 31, 1934.</w:t>
      </w:r>
      <w:r>
        <w:rPr>
          <w:rStyle w:val="EndnoteReference"/>
        </w:rPr>
        <w:endnoteReference w:id="12"/>
      </w:r>
      <w:r w:rsidRPr="003071AC">
        <w:t xml:space="preserve"> The </w:t>
      </w:r>
      <w:r w:rsidRPr="003071AC">
        <w:rPr>
          <w:i/>
        </w:rPr>
        <w:t>Washington Post</w:t>
      </w:r>
      <w:r w:rsidRPr="003071AC">
        <w:t xml:space="preserve"> reported that tax records indicated no machine guns or sawed off shot guns were sold in 1934 after the act passed.</w:t>
      </w:r>
      <w:r>
        <w:rPr>
          <w:rStyle w:val="EndnoteReference"/>
        </w:rPr>
        <w:endnoteReference w:id="13"/>
      </w:r>
    </w:p>
    <w:p w14:paraId="6281D131" w14:textId="77777777" w:rsidR="005F3444" w:rsidRDefault="005F3444" w:rsidP="005F3444"/>
    <w:p w14:paraId="29433C03" w14:textId="77777777" w:rsidR="005F3444" w:rsidRDefault="005F3444" w:rsidP="005F3444">
      <w:pPr>
        <w:contextualSpacing w:val="0"/>
      </w:pPr>
      <w:r>
        <w:br w:type="page"/>
      </w:r>
    </w:p>
    <w:p w14:paraId="1362188F" w14:textId="4F120CE6" w:rsidR="005F3444" w:rsidRPr="0095057B" w:rsidRDefault="005F3444" w:rsidP="005F3444">
      <w:pPr>
        <w:pStyle w:val="Heading1"/>
      </w:pPr>
      <w:bookmarkStart w:id="7" w:name="_Toc102657514"/>
      <w:r>
        <w:lastRenderedPageBreak/>
        <w:t>References</w:t>
      </w:r>
      <w:bookmarkEnd w:id="7"/>
    </w:p>
    <w:p w14:paraId="3554D4C8" w14:textId="77777777" w:rsidR="005F3444" w:rsidRDefault="005F3444" w:rsidP="005F3444"/>
    <w:p w14:paraId="1273C44A" w14:textId="77777777" w:rsidR="005F3444" w:rsidRDefault="005F3444" w:rsidP="005F3444">
      <w:pPr>
        <w:ind w:left="720" w:hanging="720"/>
      </w:pPr>
      <w:r>
        <w:t xml:space="preserve">Chu, Vivian S. 2013. “Congressional Authority to Regulate Firearms: A Legal Overview.” </w:t>
      </w:r>
      <w:r w:rsidRPr="00353F75">
        <w:rPr>
          <w:i/>
        </w:rPr>
        <w:t>Congressional Research Report #R43033</w:t>
      </w:r>
      <w:r>
        <w:t>, April 5</w:t>
      </w:r>
      <w:r w:rsidRPr="00353F75">
        <w:rPr>
          <w:vertAlign w:val="superscript"/>
        </w:rPr>
        <w:t>th</w:t>
      </w:r>
      <w:r>
        <w:t xml:space="preserve">. </w:t>
      </w:r>
    </w:p>
    <w:p w14:paraId="7E3E173B" w14:textId="77777777" w:rsidR="005F3444" w:rsidRDefault="005F3444" w:rsidP="005F3444"/>
    <w:p w14:paraId="2F0E3629" w14:textId="77777777" w:rsidR="005F3444" w:rsidRPr="001C6279" w:rsidRDefault="005F3444" w:rsidP="005F3444">
      <w:pPr>
        <w:ind w:left="720" w:hanging="720"/>
      </w:pPr>
      <w:r w:rsidRPr="001C6279">
        <w:t xml:space="preserve">Clinton, </w:t>
      </w:r>
      <w:proofErr w:type="gramStart"/>
      <w:r w:rsidRPr="001C6279">
        <w:t>Joshua</w:t>
      </w:r>
      <w:proofErr w:type="gramEnd"/>
      <w:r w:rsidRPr="001C6279">
        <w:t xml:space="preserve"> and John </w:t>
      </w:r>
      <w:proofErr w:type="spellStart"/>
      <w:r w:rsidRPr="001C6279">
        <w:t>Lapinski</w:t>
      </w:r>
      <w:proofErr w:type="spellEnd"/>
      <w:r w:rsidRPr="001C6279">
        <w:t xml:space="preserve">. 2006. “Measuring Legislative Accomplishment, 1877-1994,'' </w:t>
      </w:r>
      <w:r w:rsidRPr="001C6279">
        <w:rPr>
          <w:i/>
        </w:rPr>
        <w:t>American Journal of Political Science</w:t>
      </w:r>
      <w:r w:rsidRPr="001C6279">
        <w:t xml:space="preserve"> 50(1): 232-249.</w:t>
      </w:r>
    </w:p>
    <w:p w14:paraId="4F4082F5" w14:textId="77777777" w:rsidR="005F3444" w:rsidRDefault="005F3444" w:rsidP="005F3444">
      <w:pPr>
        <w:ind w:left="720" w:hanging="720"/>
      </w:pPr>
    </w:p>
    <w:p w14:paraId="78ECD674" w14:textId="77777777" w:rsidR="005F3444" w:rsidRDefault="005F3444" w:rsidP="005F3444">
      <w:pPr>
        <w:ind w:left="720" w:hanging="720"/>
      </w:pPr>
      <w:r w:rsidRPr="001C6279">
        <w:t xml:space="preserve">Cohen, Adam. </w:t>
      </w:r>
      <w:r>
        <w:t>2009. “</w:t>
      </w:r>
      <w:r w:rsidRPr="001C6279">
        <w:t>The First 100 Days.</w:t>
      </w:r>
      <w:r>
        <w:t>”</w:t>
      </w:r>
      <w:r w:rsidRPr="001C6279">
        <w:t xml:space="preserve"> </w:t>
      </w:r>
      <w:r w:rsidRPr="001C6279">
        <w:rPr>
          <w:i/>
        </w:rPr>
        <w:t>Time Magazine</w:t>
      </w:r>
      <w:r w:rsidRPr="001C6279">
        <w:t>, June 24.</w:t>
      </w:r>
    </w:p>
    <w:p w14:paraId="30EC1E19" w14:textId="77777777" w:rsidR="005F3444" w:rsidRDefault="005F3444" w:rsidP="005F3444">
      <w:pPr>
        <w:ind w:left="720" w:hanging="720"/>
      </w:pPr>
    </w:p>
    <w:p w14:paraId="6D4B6598" w14:textId="77777777" w:rsidR="005F3444" w:rsidRPr="001C6279" w:rsidRDefault="005F3444" w:rsidP="005F3444">
      <w:pPr>
        <w:ind w:left="720" w:hanging="720"/>
      </w:pPr>
      <w:r w:rsidRPr="001C6279">
        <w:t xml:space="preserve">Petersen, R. Eric. 2001. “Is It Science Yet? Replicating and Validating the Divided We Govern List of Important Statutes.'' Paper presented at the Annual Meeting of the Midwest Political Science Association, Chicago, IL. </w:t>
      </w:r>
    </w:p>
    <w:p w14:paraId="0085611F" w14:textId="77777777" w:rsidR="005F3444" w:rsidRDefault="005F3444" w:rsidP="005F3444">
      <w:pPr>
        <w:ind w:left="720" w:hanging="720"/>
      </w:pPr>
    </w:p>
    <w:p w14:paraId="17EBA121" w14:textId="77777777" w:rsidR="005F3444" w:rsidRPr="001C6279" w:rsidRDefault="005F3444" w:rsidP="005F3444">
      <w:pPr>
        <w:ind w:left="720" w:hanging="720"/>
        <w:contextualSpacing w:val="0"/>
      </w:pPr>
      <w:proofErr w:type="spellStart"/>
      <w:r w:rsidRPr="001C6279">
        <w:t>Stathis</w:t>
      </w:r>
      <w:proofErr w:type="spellEnd"/>
      <w:r w:rsidRPr="001C6279">
        <w:t xml:space="preserve">, Stephen W. 2003.  </w:t>
      </w:r>
      <w:r w:rsidRPr="001C6279">
        <w:rPr>
          <w:i/>
        </w:rPr>
        <w:t>Landmark Legislation 1774-2002: Major U.S. Acts and Treaties.</w:t>
      </w:r>
      <w:r w:rsidRPr="001C6279">
        <w:t xml:space="preserve">  Washington, D.C.: CQ Press. </w:t>
      </w:r>
    </w:p>
    <w:p w14:paraId="459131AD" w14:textId="77777777" w:rsidR="005F3444" w:rsidRPr="001C6279" w:rsidRDefault="005F3444" w:rsidP="005F3444">
      <w:pPr>
        <w:tabs>
          <w:tab w:val="left" w:pos="1500"/>
        </w:tabs>
        <w:ind w:left="720" w:hanging="720"/>
        <w:contextualSpacing w:val="0"/>
      </w:pPr>
      <w:r w:rsidRPr="001C6279">
        <w:tab/>
      </w:r>
    </w:p>
    <w:p w14:paraId="6E2B9226" w14:textId="77777777" w:rsidR="005F3444" w:rsidRPr="001C6279" w:rsidRDefault="005F3444" w:rsidP="005F3444">
      <w:pPr>
        <w:ind w:left="720" w:hanging="720"/>
        <w:contextualSpacing w:val="0"/>
      </w:pPr>
      <w:proofErr w:type="spellStart"/>
      <w:r w:rsidRPr="001C6279">
        <w:t>Stathis</w:t>
      </w:r>
      <w:proofErr w:type="spellEnd"/>
      <w:r w:rsidRPr="001C6279">
        <w:t xml:space="preserve">, Stephen W. 2014. </w:t>
      </w:r>
      <w:r w:rsidRPr="001C6279">
        <w:rPr>
          <w:i/>
        </w:rPr>
        <w:t>Landmark Legislation, 1774-2012: Major U.S. Acts and Treaties, 2</w:t>
      </w:r>
      <w:r w:rsidRPr="001C6279">
        <w:rPr>
          <w:i/>
          <w:vertAlign w:val="superscript"/>
        </w:rPr>
        <w:t>nd</w:t>
      </w:r>
      <w:r w:rsidRPr="001C6279">
        <w:rPr>
          <w:i/>
        </w:rPr>
        <w:t xml:space="preserve"> Edition</w:t>
      </w:r>
      <w:r w:rsidRPr="001C6279">
        <w:t>. Washington: CQ Press</w:t>
      </w:r>
    </w:p>
    <w:p w14:paraId="1892AB4D" w14:textId="77777777" w:rsidR="005F3444" w:rsidRDefault="005F3444" w:rsidP="005F3444">
      <w:pPr>
        <w:ind w:left="720" w:hanging="720"/>
      </w:pPr>
    </w:p>
    <w:p w14:paraId="4DC2673D" w14:textId="77777777" w:rsidR="005F3444" w:rsidRDefault="005F3444" w:rsidP="005F3444">
      <w:pPr>
        <w:ind w:left="720" w:hanging="720"/>
      </w:pPr>
      <w:r>
        <w:t xml:space="preserve">Schrader, Dorothy. 1995. “The Assault Weapons Ban: Review of Federal Laws Controlling Possession of Certain Firearms.” </w:t>
      </w:r>
      <w:r w:rsidRPr="00353F75">
        <w:rPr>
          <w:i/>
        </w:rPr>
        <w:t>Congressional Research Report #</w:t>
      </w:r>
      <w:r>
        <w:rPr>
          <w:i/>
        </w:rPr>
        <w:t xml:space="preserve">95-108, </w:t>
      </w:r>
      <w:r w:rsidRPr="001C6279">
        <w:t>December 1.</w:t>
      </w:r>
    </w:p>
    <w:p w14:paraId="2C1AC720" w14:textId="77777777" w:rsidR="005F3444" w:rsidRDefault="005F3444" w:rsidP="005F3444">
      <w:pPr>
        <w:ind w:left="720" w:hanging="720"/>
      </w:pPr>
    </w:p>
    <w:p w14:paraId="3EA913F9" w14:textId="3073414F" w:rsidR="00181F37" w:rsidRDefault="00181F37" w:rsidP="005F3444">
      <w:pPr>
        <w:ind w:left="720" w:hanging="720"/>
      </w:pPr>
    </w:p>
    <w:p w14:paraId="20714C80" w14:textId="17159517" w:rsidR="00181F37" w:rsidRDefault="00181F37" w:rsidP="00181F37"/>
    <w:p w14:paraId="67225351" w14:textId="5EA580FE" w:rsidR="00181F37" w:rsidRDefault="00181F37" w:rsidP="00181F37"/>
    <w:p w14:paraId="0E5285B0" w14:textId="0EDF7C9E" w:rsidR="00302B2F" w:rsidRDefault="00302B2F" w:rsidP="00181F37"/>
    <w:p w14:paraId="2EBC7E69" w14:textId="104A40CA" w:rsidR="00302B2F" w:rsidRDefault="00302B2F" w:rsidP="00181F37"/>
    <w:p w14:paraId="0BA4332B" w14:textId="354BAB6C" w:rsidR="00302B2F" w:rsidRDefault="00302B2F" w:rsidP="00181F37"/>
    <w:p w14:paraId="32FC2DEB" w14:textId="0F7A687D" w:rsidR="00302B2F" w:rsidRDefault="00302B2F" w:rsidP="00181F37"/>
    <w:p w14:paraId="66074E43" w14:textId="41524BCA" w:rsidR="00302B2F" w:rsidRDefault="00302B2F" w:rsidP="00181F37"/>
    <w:p w14:paraId="0D3249FF" w14:textId="5D4D654C" w:rsidR="00302B2F" w:rsidRDefault="00302B2F" w:rsidP="00181F37"/>
    <w:p w14:paraId="7D33EE25" w14:textId="4C4403F7" w:rsidR="00302B2F" w:rsidRDefault="00302B2F" w:rsidP="00181F37"/>
    <w:p w14:paraId="685904C0" w14:textId="3A183AC7" w:rsidR="00302B2F" w:rsidRDefault="00302B2F" w:rsidP="00181F37"/>
    <w:p w14:paraId="4E93B5E4" w14:textId="13B5BE41" w:rsidR="00302B2F" w:rsidRDefault="00302B2F" w:rsidP="00181F37"/>
    <w:p w14:paraId="3E506F99" w14:textId="2ED60BF6" w:rsidR="00302B2F" w:rsidRDefault="00302B2F" w:rsidP="00181F37"/>
    <w:p w14:paraId="6495ABDD" w14:textId="5CEF32C5" w:rsidR="00302B2F" w:rsidRDefault="00302B2F" w:rsidP="00181F37"/>
    <w:p w14:paraId="5F7BA893" w14:textId="25FEF6A8" w:rsidR="00302B2F" w:rsidRDefault="00302B2F" w:rsidP="00181F37"/>
    <w:p w14:paraId="41494A0C" w14:textId="33AA7EFC" w:rsidR="00302B2F" w:rsidRDefault="00302B2F" w:rsidP="00181F37"/>
    <w:p w14:paraId="2ED64E1C" w14:textId="6E7F435D" w:rsidR="00302B2F" w:rsidRDefault="00302B2F" w:rsidP="00181F37"/>
    <w:p w14:paraId="234833A8" w14:textId="23F28B06" w:rsidR="00302B2F" w:rsidRDefault="00302B2F" w:rsidP="00181F37"/>
    <w:p w14:paraId="2ACC3A99" w14:textId="77F0DC1E" w:rsidR="00302B2F" w:rsidRDefault="00302B2F" w:rsidP="00181F37"/>
    <w:p w14:paraId="6E39513F" w14:textId="27EEE2E3" w:rsidR="00302B2F" w:rsidRDefault="00302B2F" w:rsidP="00181F37"/>
    <w:p w14:paraId="2B6C05AE" w14:textId="6A22B55B" w:rsidR="00302B2F" w:rsidRDefault="00302B2F" w:rsidP="00181F37"/>
    <w:p w14:paraId="50945965" w14:textId="77777777" w:rsidR="00302B2F" w:rsidRPr="00181F37" w:rsidRDefault="00302B2F" w:rsidP="00181F37"/>
    <w:sectPr w:rsidR="00302B2F" w:rsidRPr="00181F37" w:rsidSect="00A5442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CB7E" w14:textId="77777777" w:rsidR="00A50F5F" w:rsidRDefault="00A50F5F" w:rsidP="00044D0F">
      <w:r>
        <w:separator/>
      </w:r>
    </w:p>
  </w:endnote>
  <w:endnote w:type="continuationSeparator" w:id="0">
    <w:p w14:paraId="6C982A65" w14:textId="77777777" w:rsidR="00A50F5F" w:rsidRDefault="00A50F5F" w:rsidP="00044D0F">
      <w:r>
        <w:continuationSeparator/>
      </w:r>
    </w:p>
  </w:endnote>
  <w:endnote w:id="1">
    <w:p w14:paraId="35FF66D4" w14:textId="40671B82" w:rsidR="00302B2F" w:rsidRPr="00302B2F" w:rsidRDefault="00302B2F" w:rsidP="005F3444">
      <w:pPr>
        <w:rPr>
          <w:rFonts w:cs="Times New Roman"/>
          <w:sz w:val="20"/>
          <w:szCs w:val="20"/>
        </w:rPr>
      </w:pPr>
      <w:r w:rsidRPr="00302B2F">
        <w:rPr>
          <w:rStyle w:val="EndnoteReference"/>
          <w:rFonts w:cs="Times New Roman"/>
          <w:sz w:val="20"/>
          <w:szCs w:val="20"/>
        </w:rPr>
        <w:endnoteRef/>
      </w:r>
      <w:r w:rsidRPr="00302B2F">
        <w:rPr>
          <w:rFonts w:cs="Times New Roman"/>
          <w:sz w:val="20"/>
          <w:szCs w:val="20"/>
        </w:rPr>
        <w:t xml:space="preserve"> See </w:t>
      </w:r>
      <w:r w:rsidRPr="00302B2F">
        <w:rPr>
          <w:rFonts w:cs="Times New Roman"/>
          <w:sz w:val="20"/>
          <w:szCs w:val="20"/>
        </w:rPr>
        <w:t>e.g.,</w:t>
      </w:r>
      <w:r w:rsidRPr="00302B2F">
        <w:rPr>
          <w:rFonts w:cs="Times New Roman"/>
          <w:sz w:val="20"/>
          <w:szCs w:val="20"/>
        </w:rPr>
        <w:t xml:space="preserve"> “Stronger U.S. Grip on Crime, Cummings Plea,” </w:t>
      </w:r>
      <w:r w:rsidRPr="00302B2F">
        <w:rPr>
          <w:rFonts w:cs="Times New Roman"/>
          <w:i/>
          <w:sz w:val="20"/>
          <w:szCs w:val="20"/>
        </w:rPr>
        <w:t>The Washington Post</w:t>
      </w:r>
      <w:r w:rsidRPr="00302B2F">
        <w:rPr>
          <w:rFonts w:cs="Times New Roman"/>
          <w:sz w:val="20"/>
          <w:szCs w:val="20"/>
        </w:rPr>
        <w:t xml:space="preserve">, January 6, 1934; “Criminals Buy Weapons Easily, Evidence Shows,” </w:t>
      </w:r>
      <w:r w:rsidRPr="00302B2F">
        <w:rPr>
          <w:rFonts w:cs="Times New Roman"/>
          <w:i/>
          <w:sz w:val="20"/>
          <w:szCs w:val="20"/>
        </w:rPr>
        <w:t>Christian Science Monitor</w:t>
      </w:r>
      <w:r w:rsidRPr="00302B2F">
        <w:rPr>
          <w:rFonts w:cs="Times New Roman"/>
          <w:sz w:val="20"/>
          <w:szCs w:val="20"/>
        </w:rPr>
        <w:t xml:space="preserve">, May 9, 1934. Additional commentary suggested the killing of John Dillinger in January 1934 played a role in galvanizing public support for the bill (“Recent Successes against Criminals Strengthen Drive: Dillinger and Hauptmann Cases Do Much to Weld Public Sentiment,” </w:t>
      </w:r>
      <w:r w:rsidRPr="00302B2F">
        <w:rPr>
          <w:rFonts w:cs="Times New Roman"/>
          <w:i/>
          <w:sz w:val="20"/>
          <w:szCs w:val="20"/>
        </w:rPr>
        <w:t>Christian Science Monitor</w:t>
      </w:r>
      <w:r w:rsidRPr="00302B2F">
        <w:rPr>
          <w:rFonts w:cs="Times New Roman"/>
          <w:sz w:val="20"/>
          <w:szCs w:val="20"/>
        </w:rPr>
        <w:t>, September 24, 1934.)</w:t>
      </w:r>
    </w:p>
    <w:p w14:paraId="22189A6D" w14:textId="77777777" w:rsidR="00302B2F" w:rsidRPr="00302B2F" w:rsidRDefault="00302B2F" w:rsidP="005F3444">
      <w:pPr>
        <w:rPr>
          <w:rFonts w:cs="Times New Roman"/>
          <w:sz w:val="20"/>
          <w:szCs w:val="20"/>
        </w:rPr>
      </w:pPr>
    </w:p>
  </w:endnote>
  <w:endnote w:id="2">
    <w:p w14:paraId="24E8FF0C" w14:textId="0746F958" w:rsidR="00302B2F" w:rsidRDefault="00302B2F" w:rsidP="005F3444">
      <w:pPr>
        <w:rPr>
          <w:rFonts w:cs="Times New Roman"/>
          <w:sz w:val="20"/>
          <w:szCs w:val="20"/>
        </w:rPr>
      </w:pPr>
      <w:r w:rsidRPr="00302B2F">
        <w:rPr>
          <w:rStyle w:val="EndnoteReference"/>
          <w:rFonts w:cs="Times New Roman"/>
          <w:sz w:val="20"/>
          <w:szCs w:val="20"/>
        </w:rPr>
        <w:endnoteRef/>
      </w:r>
      <w:r w:rsidRPr="00302B2F">
        <w:rPr>
          <w:rFonts w:cs="Times New Roman"/>
          <w:sz w:val="20"/>
          <w:szCs w:val="20"/>
        </w:rPr>
        <w:t xml:space="preserve"> See </w:t>
      </w:r>
      <w:r w:rsidR="00265DBB" w:rsidRPr="00302B2F">
        <w:rPr>
          <w:rFonts w:cs="Times New Roman"/>
          <w:sz w:val="20"/>
          <w:szCs w:val="20"/>
        </w:rPr>
        <w:t>e.g.,</w:t>
      </w:r>
      <w:r w:rsidRPr="00302B2F">
        <w:rPr>
          <w:rFonts w:cs="Times New Roman"/>
          <w:sz w:val="20"/>
          <w:szCs w:val="20"/>
        </w:rPr>
        <w:t xml:space="preserve"> “Objections Made to Firearms Act”, </w:t>
      </w:r>
      <w:r w:rsidRPr="00302B2F">
        <w:rPr>
          <w:rFonts w:cs="Times New Roman"/>
          <w:i/>
          <w:sz w:val="20"/>
          <w:szCs w:val="20"/>
        </w:rPr>
        <w:t>New York Times</w:t>
      </w:r>
      <w:r w:rsidRPr="00302B2F">
        <w:rPr>
          <w:rFonts w:cs="Times New Roman"/>
          <w:sz w:val="20"/>
          <w:szCs w:val="20"/>
        </w:rPr>
        <w:t xml:space="preserve">, June 3, 1934; “Federal Firearm Monopoly”, </w:t>
      </w:r>
      <w:r w:rsidRPr="00302B2F">
        <w:rPr>
          <w:rFonts w:cs="Times New Roman"/>
          <w:i/>
          <w:sz w:val="20"/>
          <w:szCs w:val="20"/>
        </w:rPr>
        <w:t>Washington Post</w:t>
      </w:r>
      <w:r w:rsidRPr="00302B2F">
        <w:rPr>
          <w:rFonts w:cs="Times New Roman"/>
          <w:sz w:val="20"/>
          <w:szCs w:val="20"/>
        </w:rPr>
        <w:t xml:space="preserve">, May 12, 1934; Stout, Richard L. “Law to Disarm Gangsters Opposed by Men Who Want Free Right to Buy Pistols,” </w:t>
      </w:r>
      <w:r w:rsidRPr="00302B2F">
        <w:rPr>
          <w:rFonts w:cs="Times New Roman"/>
          <w:i/>
          <w:sz w:val="20"/>
          <w:szCs w:val="20"/>
        </w:rPr>
        <w:t>Christian Science Monitor</w:t>
      </w:r>
      <w:r w:rsidRPr="00302B2F">
        <w:rPr>
          <w:rFonts w:cs="Times New Roman"/>
          <w:sz w:val="20"/>
          <w:szCs w:val="20"/>
        </w:rPr>
        <w:t xml:space="preserve">, May 15, 1934; “Anti-Arms Groups Wins Its Battle on Machine Guns,” </w:t>
      </w:r>
      <w:r w:rsidRPr="00302B2F">
        <w:rPr>
          <w:rFonts w:cs="Times New Roman"/>
          <w:i/>
          <w:sz w:val="20"/>
          <w:szCs w:val="20"/>
        </w:rPr>
        <w:t>Christian Science Monitor</w:t>
      </w:r>
      <w:r w:rsidRPr="00302B2F">
        <w:rPr>
          <w:rFonts w:cs="Times New Roman"/>
          <w:sz w:val="20"/>
          <w:szCs w:val="20"/>
        </w:rPr>
        <w:t>, May 10, 1934.</w:t>
      </w:r>
    </w:p>
    <w:p w14:paraId="5DA43FDF" w14:textId="77777777" w:rsidR="00302B2F" w:rsidRPr="00302B2F" w:rsidRDefault="00302B2F" w:rsidP="005F3444">
      <w:pPr>
        <w:rPr>
          <w:rFonts w:cs="Times New Roman"/>
        </w:rPr>
      </w:pPr>
    </w:p>
  </w:endnote>
  <w:endnote w:id="3">
    <w:p w14:paraId="198D32B9"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w:t>
      </w:r>
      <w:hyperlink r:id="rId1" w:history="1">
        <w:r w:rsidRPr="00302B2F">
          <w:rPr>
            <w:rStyle w:val="Hyperlink"/>
            <w:rFonts w:cs="Times New Roman"/>
          </w:rPr>
          <w:t>http://history.house.gov/Congressional-Overview/Profiles/73rd/</w:t>
        </w:r>
      </w:hyperlink>
      <w:r w:rsidRPr="00302B2F">
        <w:rPr>
          <w:rFonts w:cs="Times New Roman"/>
        </w:rPr>
        <w:t xml:space="preserve"> </w:t>
      </w:r>
    </w:p>
    <w:p w14:paraId="58DFA1FF" w14:textId="77777777" w:rsidR="00302B2F" w:rsidRPr="00302B2F" w:rsidRDefault="00302B2F" w:rsidP="005F3444">
      <w:pPr>
        <w:pStyle w:val="EndnoteText"/>
        <w:rPr>
          <w:rFonts w:cs="Times New Roman"/>
        </w:rPr>
      </w:pPr>
    </w:p>
  </w:endnote>
  <w:endnote w:id="4">
    <w:p w14:paraId="165695B9"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w:t>
      </w:r>
      <w:hyperlink r:id="rId2" w:history="1">
        <w:r w:rsidRPr="00302B2F">
          <w:rPr>
            <w:rStyle w:val="Hyperlink"/>
            <w:rFonts w:cs="Times New Roman"/>
          </w:rPr>
          <w:t>http://history.house.gov/Institution/Party-Divisions/Party-Divisions/</w:t>
        </w:r>
      </w:hyperlink>
      <w:r w:rsidRPr="00302B2F">
        <w:rPr>
          <w:rFonts w:cs="Times New Roman"/>
        </w:rPr>
        <w:t xml:space="preserve">  </w:t>
      </w:r>
    </w:p>
    <w:p w14:paraId="12BA84C5" w14:textId="77777777" w:rsidR="00302B2F" w:rsidRPr="00302B2F" w:rsidRDefault="00302B2F" w:rsidP="005F3444">
      <w:pPr>
        <w:pStyle w:val="EndnoteText"/>
        <w:rPr>
          <w:rFonts w:cs="Times New Roman"/>
        </w:rPr>
      </w:pPr>
    </w:p>
  </w:endnote>
  <w:endnote w:id="5">
    <w:p w14:paraId="188433A3"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w:t>
      </w:r>
      <w:hyperlink r:id="rId3" w:history="1">
        <w:r w:rsidRPr="00302B2F">
          <w:rPr>
            <w:rStyle w:val="Hyperlink"/>
            <w:rFonts w:cs="Times New Roman"/>
          </w:rPr>
          <w:t>http://www.senate.gov/history/partydiv.htm</w:t>
        </w:r>
      </w:hyperlink>
      <w:r w:rsidRPr="00302B2F">
        <w:rPr>
          <w:rFonts w:cs="Times New Roman"/>
        </w:rPr>
        <w:t xml:space="preserve"> </w:t>
      </w:r>
    </w:p>
    <w:p w14:paraId="22BDC54A" w14:textId="77777777" w:rsidR="00302B2F" w:rsidRPr="00302B2F" w:rsidRDefault="00302B2F" w:rsidP="005F3444">
      <w:pPr>
        <w:pStyle w:val="EndnoteText"/>
        <w:rPr>
          <w:rFonts w:cs="Times New Roman"/>
        </w:rPr>
      </w:pPr>
    </w:p>
  </w:endnote>
  <w:endnote w:id="6">
    <w:p w14:paraId="65466FE3"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For example, S 5, HR 6028, HR 9972, HR 10492, HR 12589 were all introduced in the first session of the 72nd Congress. S 5702 was introduced in the second session of the 72nd Congress.  HR 1608, HR 1659, S 885, S 1301 were all firearm regulatory bills introduced in the first session of the 73rd Congress. None of these measures received floor consideration.</w:t>
      </w:r>
    </w:p>
    <w:p w14:paraId="5A3F46A8" w14:textId="77777777" w:rsidR="00302B2F" w:rsidRPr="00302B2F" w:rsidRDefault="00302B2F" w:rsidP="005F3444">
      <w:pPr>
        <w:pStyle w:val="EndnoteText"/>
        <w:rPr>
          <w:rFonts w:cs="Times New Roman"/>
        </w:rPr>
      </w:pPr>
    </w:p>
  </w:endnote>
  <w:endnote w:id="7">
    <w:p w14:paraId="48868A26"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This included S 2258, S 2840, S 2844, S 3860, and S 3795. None of these measures received floor consideration.</w:t>
      </w:r>
    </w:p>
    <w:p w14:paraId="6C6EBBF4" w14:textId="77777777" w:rsidR="00302B2F" w:rsidRPr="00302B2F" w:rsidRDefault="00302B2F" w:rsidP="005F3444">
      <w:pPr>
        <w:pStyle w:val="EndnoteText"/>
        <w:rPr>
          <w:rFonts w:cs="Times New Roman"/>
        </w:rPr>
      </w:pPr>
    </w:p>
  </w:endnote>
  <w:endnote w:id="8">
    <w:p w14:paraId="6F2D6BE9" w14:textId="01332E99" w:rsidR="00302B2F" w:rsidRDefault="00302B2F" w:rsidP="005F3444">
      <w:pPr>
        <w:rPr>
          <w:rFonts w:cs="Times New Roman"/>
          <w:sz w:val="20"/>
          <w:szCs w:val="20"/>
        </w:rPr>
      </w:pPr>
      <w:r w:rsidRPr="00302B2F">
        <w:rPr>
          <w:rStyle w:val="EndnoteReference"/>
          <w:rFonts w:cs="Times New Roman"/>
          <w:sz w:val="20"/>
          <w:szCs w:val="20"/>
        </w:rPr>
        <w:endnoteRef/>
      </w:r>
      <w:r w:rsidRPr="00302B2F">
        <w:rPr>
          <w:rFonts w:cs="Times New Roman"/>
          <w:sz w:val="20"/>
          <w:szCs w:val="20"/>
        </w:rPr>
        <w:t xml:space="preserve"> See “14 Bills in Senate to Curb Gun Sales,” </w:t>
      </w:r>
      <w:r w:rsidRPr="00302B2F">
        <w:rPr>
          <w:rFonts w:cs="Times New Roman"/>
          <w:i/>
          <w:sz w:val="20"/>
          <w:szCs w:val="20"/>
        </w:rPr>
        <w:t>The New York Times</w:t>
      </w:r>
      <w:r w:rsidRPr="00302B2F">
        <w:rPr>
          <w:rFonts w:cs="Times New Roman"/>
          <w:sz w:val="20"/>
          <w:szCs w:val="20"/>
        </w:rPr>
        <w:t>, January 12, 1934.</w:t>
      </w:r>
    </w:p>
    <w:p w14:paraId="238F5C3B" w14:textId="77777777" w:rsidR="00302B2F" w:rsidRPr="00302B2F" w:rsidRDefault="00302B2F" w:rsidP="005F3444">
      <w:pPr>
        <w:rPr>
          <w:rFonts w:cs="Times New Roman"/>
        </w:rPr>
      </w:pPr>
    </w:p>
  </w:endnote>
  <w:endnote w:id="9">
    <w:p w14:paraId="3C91B59E" w14:textId="037580C5"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See </w:t>
      </w:r>
      <w:r w:rsidR="00265DBB" w:rsidRPr="00302B2F">
        <w:rPr>
          <w:rFonts w:cs="Times New Roman"/>
        </w:rPr>
        <w:t>e.g.,</w:t>
      </w:r>
      <w:r w:rsidRPr="00302B2F">
        <w:rPr>
          <w:rFonts w:cs="Times New Roman"/>
        </w:rPr>
        <w:t xml:space="preserve"> Stout, Richard L. “Law to Disarm Gangsters Opposed by Men Who Want Free Right to Buy Pistols,” </w:t>
      </w:r>
      <w:r w:rsidRPr="00302B2F">
        <w:rPr>
          <w:rFonts w:cs="Times New Roman"/>
          <w:i/>
        </w:rPr>
        <w:t>Christian Science Monitor</w:t>
      </w:r>
      <w:r w:rsidRPr="00302B2F">
        <w:rPr>
          <w:rFonts w:cs="Times New Roman"/>
        </w:rPr>
        <w:t xml:space="preserve">, May 15, 1934; “Anti-Arms Groups Wins Its Battle on Machine Guns,” </w:t>
      </w:r>
      <w:r w:rsidRPr="00302B2F">
        <w:rPr>
          <w:rFonts w:cs="Times New Roman"/>
          <w:i/>
        </w:rPr>
        <w:t>Christian Science Monitor</w:t>
      </w:r>
      <w:r w:rsidRPr="00302B2F">
        <w:rPr>
          <w:rFonts w:cs="Times New Roman"/>
        </w:rPr>
        <w:t>, May 10, 1934.</w:t>
      </w:r>
    </w:p>
    <w:p w14:paraId="3CF13E7F" w14:textId="77777777" w:rsidR="00302B2F" w:rsidRPr="00302B2F" w:rsidRDefault="00302B2F" w:rsidP="005F3444">
      <w:pPr>
        <w:pStyle w:val="EndnoteText"/>
        <w:rPr>
          <w:rFonts w:cs="Times New Roman"/>
        </w:rPr>
      </w:pPr>
    </w:p>
  </w:endnote>
  <w:endnote w:id="10">
    <w:p w14:paraId="0DF76EA6" w14:textId="545E0255"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See </w:t>
      </w:r>
      <w:r w:rsidR="00265DBB" w:rsidRPr="00302B2F">
        <w:rPr>
          <w:rFonts w:cs="Times New Roman"/>
        </w:rPr>
        <w:t>e.g.,</w:t>
      </w:r>
      <w:r w:rsidRPr="00302B2F">
        <w:rPr>
          <w:rFonts w:cs="Times New Roman"/>
        </w:rPr>
        <w:t xml:space="preserve"> “Club Women Join Battle to Block Firearms Sales,” </w:t>
      </w:r>
      <w:r w:rsidRPr="00302B2F">
        <w:rPr>
          <w:rFonts w:cs="Times New Roman"/>
          <w:i/>
        </w:rPr>
        <w:t>The Christian Science Monitor</w:t>
      </w:r>
      <w:r w:rsidRPr="00302B2F">
        <w:rPr>
          <w:rFonts w:cs="Times New Roman"/>
        </w:rPr>
        <w:t xml:space="preserve">, May 25, 1934; “Club Women Insist on Anti-Pistol Bill,” </w:t>
      </w:r>
      <w:r w:rsidRPr="00302B2F">
        <w:rPr>
          <w:rFonts w:cs="Times New Roman"/>
          <w:i/>
        </w:rPr>
        <w:t>The New York Times</w:t>
      </w:r>
      <w:r w:rsidRPr="00302B2F">
        <w:rPr>
          <w:rFonts w:cs="Times New Roman"/>
        </w:rPr>
        <w:t>, May 25, 1934.</w:t>
      </w:r>
    </w:p>
    <w:p w14:paraId="685C87FB" w14:textId="77777777" w:rsidR="00302B2F" w:rsidRPr="00302B2F" w:rsidRDefault="00302B2F" w:rsidP="005F3444">
      <w:pPr>
        <w:pStyle w:val="EndnoteText"/>
        <w:rPr>
          <w:rFonts w:cs="Times New Roman"/>
        </w:rPr>
      </w:pPr>
    </w:p>
  </w:endnote>
  <w:endnote w:id="11">
    <w:p w14:paraId="40D9926F" w14:textId="4DD20333" w:rsid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“Club Women Insist on Anti-Pistol Bill,” </w:t>
      </w:r>
      <w:r w:rsidRPr="00302B2F">
        <w:rPr>
          <w:rFonts w:cs="Times New Roman"/>
          <w:i/>
        </w:rPr>
        <w:t>The New York Times</w:t>
      </w:r>
      <w:r w:rsidRPr="00302B2F">
        <w:rPr>
          <w:rFonts w:cs="Times New Roman"/>
        </w:rPr>
        <w:t>, May 25, 1934.</w:t>
      </w:r>
    </w:p>
    <w:p w14:paraId="0CD1909D" w14:textId="77777777" w:rsidR="00302B2F" w:rsidRPr="00302B2F" w:rsidRDefault="00302B2F" w:rsidP="005F3444">
      <w:pPr>
        <w:pStyle w:val="EndnoteText"/>
        <w:rPr>
          <w:rFonts w:cs="Times New Roman"/>
        </w:rPr>
      </w:pPr>
    </w:p>
  </w:endnote>
  <w:endnote w:id="12">
    <w:p w14:paraId="75D37587"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See “Firearms Act Effect August 10”, </w:t>
      </w:r>
      <w:r w:rsidRPr="00302B2F">
        <w:rPr>
          <w:rFonts w:cs="Times New Roman"/>
          <w:i/>
        </w:rPr>
        <w:t>The Wall Street Journal</w:t>
      </w:r>
      <w:r w:rsidRPr="00302B2F">
        <w:rPr>
          <w:rFonts w:cs="Times New Roman"/>
        </w:rPr>
        <w:t xml:space="preserve">, August 9, 1934; “Firearms Tax Due Aug 31,” </w:t>
      </w:r>
      <w:r w:rsidRPr="00302B2F">
        <w:rPr>
          <w:rFonts w:cs="Times New Roman"/>
          <w:i/>
        </w:rPr>
        <w:t>The New York Times</w:t>
      </w:r>
      <w:r w:rsidRPr="00302B2F">
        <w:rPr>
          <w:rFonts w:cs="Times New Roman"/>
        </w:rPr>
        <w:t xml:space="preserve">, August 17th, 1934. </w:t>
      </w:r>
    </w:p>
    <w:p w14:paraId="4C50A7A4" w14:textId="77777777" w:rsidR="00302B2F" w:rsidRPr="00302B2F" w:rsidRDefault="00302B2F" w:rsidP="005F3444">
      <w:pPr>
        <w:pStyle w:val="EndnoteText"/>
        <w:rPr>
          <w:rFonts w:cs="Times New Roman"/>
        </w:rPr>
      </w:pPr>
    </w:p>
  </w:endnote>
  <w:endnote w:id="13">
    <w:p w14:paraId="4D3C121F" w14:textId="77777777" w:rsidR="00302B2F" w:rsidRPr="00302B2F" w:rsidRDefault="00302B2F" w:rsidP="005F3444">
      <w:pPr>
        <w:pStyle w:val="EndnoteText"/>
        <w:rPr>
          <w:rFonts w:cs="Times New Roman"/>
        </w:rPr>
      </w:pPr>
      <w:r w:rsidRPr="00302B2F">
        <w:rPr>
          <w:rStyle w:val="EndnoteReference"/>
          <w:rFonts w:cs="Times New Roman"/>
        </w:rPr>
        <w:endnoteRef/>
      </w:r>
      <w:r w:rsidRPr="00302B2F">
        <w:rPr>
          <w:rFonts w:cs="Times New Roman"/>
        </w:rPr>
        <w:t xml:space="preserve"> “Machine Guns’ Sale Is Halted,” </w:t>
      </w:r>
      <w:r w:rsidRPr="00302B2F">
        <w:rPr>
          <w:rFonts w:cs="Times New Roman"/>
          <w:i/>
        </w:rPr>
        <w:t>The Washington Post</w:t>
      </w:r>
      <w:r w:rsidRPr="00302B2F">
        <w:rPr>
          <w:rFonts w:cs="Times New Roman"/>
        </w:rPr>
        <w:t>, December 25, 1934.</w:t>
      </w:r>
    </w:p>
    <w:p w14:paraId="14901D69" w14:textId="77777777" w:rsidR="00302B2F" w:rsidRPr="00302B2F" w:rsidRDefault="00302B2F" w:rsidP="005F3444">
      <w:pPr>
        <w:pStyle w:val="EndnoteText"/>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A50F5F"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E7F" w14:textId="77777777" w:rsidR="00E94FAD" w:rsidRDefault="00E9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D01C" w14:textId="77777777" w:rsidR="00A50F5F" w:rsidRDefault="00A50F5F" w:rsidP="00044D0F">
      <w:r>
        <w:separator/>
      </w:r>
    </w:p>
  </w:footnote>
  <w:footnote w:type="continuationSeparator" w:id="0">
    <w:p w14:paraId="7852A942" w14:textId="77777777" w:rsidR="00A50F5F" w:rsidRDefault="00A50F5F"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591269">
    <w:abstractNumId w:val="19"/>
  </w:num>
  <w:num w:numId="2" w16cid:durableId="1909534375">
    <w:abstractNumId w:val="11"/>
  </w:num>
  <w:num w:numId="3" w16cid:durableId="889923813">
    <w:abstractNumId w:val="17"/>
  </w:num>
  <w:num w:numId="4" w16cid:durableId="441998191">
    <w:abstractNumId w:val="1"/>
  </w:num>
  <w:num w:numId="5" w16cid:durableId="2034722576">
    <w:abstractNumId w:val="18"/>
  </w:num>
  <w:num w:numId="6" w16cid:durableId="1110010224">
    <w:abstractNumId w:val="9"/>
  </w:num>
  <w:num w:numId="7" w16cid:durableId="1625305139">
    <w:abstractNumId w:val="15"/>
  </w:num>
  <w:num w:numId="8" w16cid:durableId="1866090191">
    <w:abstractNumId w:val="8"/>
  </w:num>
  <w:num w:numId="9" w16cid:durableId="379670711">
    <w:abstractNumId w:val="7"/>
  </w:num>
  <w:num w:numId="10" w16cid:durableId="166941796">
    <w:abstractNumId w:val="16"/>
  </w:num>
  <w:num w:numId="11" w16cid:durableId="589504939">
    <w:abstractNumId w:val="2"/>
  </w:num>
  <w:num w:numId="12" w16cid:durableId="899754924">
    <w:abstractNumId w:val="10"/>
  </w:num>
  <w:num w:numId="13" w16cid:durableId="1164974584">
    <w:abstractNumId w:val="14"/>
  </w:num>
  <w:num w:numId="14" w16cid:durableId="576330291">
    <w:abstractNumId w:val="13"/>
  </w:num>
  <w:num w:numId="15" w16cid:durableId="1205413038">
    <w:abstractNumId w:val="0"/>
  </w:num>
  <w:num w:numId="16" w16cid:durableId="246423812">
    <w:abstractNumId w:val="6"/>
  </w:num>
  <w:num w:numId="17" w16cid:durableId="1171868075">
    <w:abstractNumId w:val="5"/>
  </w:num>
  <w:num w:numId="18" w16cid:durableId="1617323928">
    <w:abstractNumId w:val="3"/>
  </w:num>
  <w:num w:numId="19" w16cid:durableId="1489975422">
    <w:abstractNumId w:val="12"/>
  </w:num>
  <w:num w:numId="20" w16cid:durableId="1782988341">
    <w:abstractNumId w:val="4"/>
  </w:num>
  <w:num w:numId="21" w16cid:durableId="1960329395">
    <w:abstractNumId w:val="21"/>
  </w:num>
  <w:num w:numId="22" w16cid:durableId="17415127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44D0F"/>
    <w:rsid w:val="00054E70"/>
    <w:rsid w:val="00063549"/>
    <w:rsid w:val="00064C0D"/>
    <w:rsid w:val="00077D82"/>
    <w:rsid w:val="00093AB1"/>
    <w:rsid w:val="000D750A"/>
    <w:rsid w:val="000E4B5B"/>
    <w:rsid w:val="000E602D"/>
    <w:rsid w:val="000F4846"/>
    <w:rsid w:val="000F7734"/>
    <w:rsid w:val="00101921"/>
    <w:rsid w:val="00113224"/>
    <w:rsid w:val="0012080A"/>
    <w:rsid w:val="00135F50"/>
    <w:rsid w:val="00162C61"/>
    <w:rsid w:val="00170FA3"/>
    <w:rsid w:val="00175E0C"/>
    <w:rsid w:val="00181F37"/>
    <w:rsid w:val="0019087B"/>
    <w:rsid w:val="00190D0A"/>
    <w:rsid w:val="00192D1D"/>
    <w:rsid w:val="001C1A34"/>
    <w:rsid w:val="001C51BE"/>
    <w:rsid w:val="001E4540"/>
    <w:rsid w:val="001E7267"/>
    <w:rsid w:val="00203940"/>
    <w:rsid w:val="00207B5B"/>
    <w:rsid w:val="00214658"/>
    <w:rsid w:val="00216355"/>
    <w:rsid w:val="00232D4A"/>
    <w:rsid w:val="00233E79"/>
    <w:rsid w:val="00240A84"/>
    <w:rsid w:val="00265DBB"/>
    <w:rsid w:val="002774C6"/>
    <w:rsid w:val="002855A7"/>
    <w:rsid w:val="002A5272"/>
    <w:rsid w:val="002A7D84"/>
    <w:rsid w:val="002C68CE"/>
    <w:rsid w:val="002D6788"/>
    <w:rsid w:val="002F2AD5"/>
    <w:rsid w:val="00302B2F"/>
    <w:rsid w:val="00306150"/>
    <w:rsid w:val="00306C9A"/>
    <w:rsid w:val="0032773D"/>
    <w:rsid w:val="003356FE"/>
    <w:rsid w:val="0033798B"/>
    <w:rsid w:val="0034505E"/>
    <w:rsid w:val="003534C5"/>
    <w:rsid w:val="00354418"/>
    <w:rsid w:val="00374978"/>
    <w:rsid w:val="00387BE9"/>
    <w:rsid w:val="003A58A3"/>
    <w:rsid w:val="003C21E8"/>
    <w:rsid w:val="003C4F7D"/>
    <w:rsid w:val="003F01E8"/>
    <w:rsid w:val="003F4A39"/>
    <w:rsid w:val="003F4E8D"/>
    <w:rsid w:val="00411360"/>
    <w:rsid w:val="0041497E"/>
    <w:rsid w:val="00427E9D"/>
    <w:rsid w:val="00431719"/>
    <w:rsid w:val="004866B6"/>
    <w:rsid w:val="004903CD"/>
    <w:rsid w:val="00492AB2"/>
    <w:rsid w:val="004B3287"/>
    <w:rsid w:val="004E13E8"/>
    <w:rsid w:val="004F61C7"/>
    <w:rsid w:val="00511643"/>
    <w:rsid w:val="005167B9"/>
    <w:rsid w:val="00523567"/>
    <w:rsid w:val="00526337"/>
    <w:rsid w:val="00526734"/>
    <w:rsid w:val="00530800"/>
    <w:rsid w:val="00542E52"/>
    <w:rsid w:val="00574355"/>
    <w:rsid w:val="00595250"/>
    <w:rsid w:val="005970FD"/>
    <w:rsid w:val="005B09BF"/>
    <w:rsid w:val="005B4864"/>
    <w:rsid w:val="005E058C"/>
    <w:rsid w:val="005E0E12"/>
    <w:rsid w:val="005E1ADF"/>
    <w:rsid w:val="005F3444"/>
    <w:rsid w:val="00615D58"/>
    <w:rsid w:val="0062127A"/>
    <w:rsid w:val="0062206A"/>
    <w:rsid w:val="00625393"/>
    <w:rsid w:val="00645314"/>
    <w:rsid w:val="00652D44"/>
    <w:rsid w:val="006749B5"/>
    <w:rsid w:val="006877EC"/>
    <w:rsid w:val="00690F4B"/>
    <w:rsid w:val="006A68E0"/>
    <w:rsid w:val="006C76BF"/>
    <w:rsid w:val="006E16FC"/>
    <w:rsid w:val="00751118"/>
    <w:rsid w:val="007565B6"/>
    <w:rsid w:val="00760583"/>
    <w:rsid w:val="007847B5"/>
    <w:rsid w:val="007860D8"/>
    <w:rsid w:val="007A468B"/>
    <w:rsid w:val="007B5FB3"/>
    <w:rsid w:val="007C1744"/>
    <w:rsid w:val="007C7E9D"/>
    <w:rsid w:val="007D119F"/>
    <w:rsid w:val="007D1B3B"/>
    <w:rsid w:val="007F55D3"/>
    <w:rsid w:val="007F5C06"/>
    <w:rsid w:val="008052BA"/>
    <w:rsid w:val="0081536B"/>
    <w:rsid w:val="008268CF"/>
    <w:rsid w:val="0083030E"/>
    <w:rsid w:val="0086099C"/>
    <w:rsid w:val="0086415C"/>
    <w:rsid w:val="008917E1"/>
    <w:rsid w:val="008C448E"/>
    <w:rsid w:val="008C577A"/>
    <w:rsid w:val="008F1AC9"/>
    <w:rsid w:val="008F3B29"/>
    <w:rsid w:val="00901868"/>
    <w:rsid w:val="0091640B"/>
    <w:rsid w:val="00944A71"/>
    <w:rsid w:val="00947878"/>
    <w:rsid w:val="00950CA9"/>
    <w:rsid w:val="00955186"/>
    <w:rsid w:val="00971BE4"/>
    <w:rsid w:val="00996649"/>
    <w:rsid w:val="00996B30"/>
    <w:rsid w:val="009B4BC7"/>
    <w:rsid w:val="009B5082"/>
    <w:rsid w:val="009D7C82"/>
    <w:rsid w:val="009E3540"/>
    <w:rsid w:val="009E4DE7"/>
    <w:rsid w:val="009E5789"/>
    <w:rsid w:val="009E6565"/>
    <w:rsid w:val="009F60EA"/>
    <w:rsid w:val="00A154E9"/>
    <w:rsid w:val="00A418B5"/>
    <w:rsid w:val="00A50F5F"/>
    <w:rsid w:val="00A54427"/>
    <w:rsid w:val="00A67465"/>
    <w:rsid w:val="00A70014"/>
    <w:rsid w:val="00A8600B"/>
    <w:rsid w:val="00AB54A7"/>
    <w:rsid w:val="00AD6653"/>
    <w:rsid w:val="00AF3432"/>
    <w:rsid w:val="00AF64E7"/>
    <w:rsid w:val="00B558B2"/>
    <w:rsid w:val="00B6053F"/>
    <w:rsid w:val="00B76874"/>
    <w:rsid w:val="00BA39FE"/>
    <w:rsid w:val="00BA5C71"/>
    <w:rsid w:val="00BC187C"/>
    <w:rsid w:val="00BE3FDB"/>
    <w:rsid w:val="00BF658B"/>
    <w:rsid w:val="00C00168"/>
    <w:rsid w:val="00C0243C"/>
    <w:rsid w:val="00C060EF"/>
    <w:rsid w:val="00C14452"/>
    <w:rsid w:val="00C17DAC"/>
    <w:rsid w:val="00C775E3"/>
    <w:rsid w:val="00C9106C"/>
    <w:rsid w:val="00C920BF"/>
    <w:rsid w:val="00C9432C"/>
    <w:rsid w:val="00CD2B51"/>
    <w:rsid w:val="00CE0A10"/>
    <w:rsid w:val="00CF51A1"/>
    <w:rsid w:val="00CF7572"/>
    <w:rsid w:val="00D10F07"/>
    <w:rsid w:val="00D34A67"/>
    <w:rsid w:val="00D34CD9"/>
    <w:rsid w:val="00D377FF"/>
    <w:rsid w:val="00D600C1"/>
    <w:rsid w:val="00D93861"/>
    <w:rsid w:val="00DA418D"/>
    <w:rsid w:val="00DB0D49"/>
    <w:rsid w:val="00E24A31"/>
    <w:rsid w:val="00E8589C"/>
    <w:rsid w:val="00E915D1"/>
    <w:rsid w:val="00E94FAD"/>
    <w:rsid w:val="00EA39C3"/>
    <w:rsid w:val="00EC1980"/>
    <w:rsid w:val="00ED40ED"/>
    <w:rsid w:val="00ED6B8F"/>
    <w:rsid w:val="00F018CF"/>
    <w:rsid w:val="00F1536A"/>
    <w:rsid w:val="00F3085D"/>
    <w:rsid w:val="00F70C85"/>
    <w:rsid w:val="00F75723"/>
    <w:rsid w:val="00F82B9F"/>
    <w:rsid w:val="00FA6EF8"/>
    <w:rsid w:val="00FD283B"/>
    <w:rsid w:val="00FD3049"/>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semiHidden/>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paragraph" w:styleId="EndnoteText">
    <w:name w:val="endnote text"/>
    <w:basedOn w:val="Normal"/>
    <w:link w:val="EndnoteTextChar"/>
    <w:uiPriority w:val="99"/>
    <w:semiHidden/>
    <w:unhideWhenUsed/>
    <w:rsid w:val="00302B2F"/>
    <w:rPr>
      <w:sz w:val="20"/>
      <w:szCs w:val="20"/>
    </w:rPr>
  </w:style>
  <w:style w:type="character" w:customStyle="1" w:styleId="EndnoteTextChar">
    <w:name w:val="Endnote Text Char"/>
    <w:basedOn w:val="DefaultParagraphFont"/>
    <w:link w:val="EndnoteText"/>
    <w:uiPriority w:val="99"/>
    <w:semiHidden/>
    <w:rsid w:val="00302B2F"/>
    <w:rPr>
      <w:rFonts w:ascii="Times New Roman" w:hAnsi="Times New Roman"/>
      <w:sz w:val="20"/>
      <w:szCs w:val="20"/>
    </w:rPr>
  </w:style>
  <w:style w:type="character" w:styleId="EndnoteReference">
    <w:name w:val="endnote reference"/>
    <w:basedOn w:val="DefaultParagraphFont"/>
    <w:uiPriority w:val="99"/>
    <w:semiHidden/>
    <w:unhideWhenUsed/>
    <w:rsid w:val="00302B2F"/>
    <w:rPr>
      <w:vertAlign w:val="superscript"/>
    </w:rPr>
  </w:style>
  <w:style w:type="paragraph" w:styleId="TOCHeading">
    <w:name w:val="TOC Heading"/>
    <w:basedOn w:val="Heading1"/>
    <w:next w:val="Normal"/>
    <w:uiPriority w:val="39"/>
    <w:unhideWhenUsed/>
    <w:qFormat/>
    <w:rsid w:val="00901868"/>
    <w:pPr>
      <w:spacing w:line="259" w:lineRule="auto"/>
      <w:contextualSpacing w:val="0"/>
      <w:outlineLvl w:val="9"/>
    </w:pPr>
    <w:rPr>
      <w:rFonts w:asciiTheme="majorHAnsi" w:hAnsiTheme="majorHAnsi" w:cstheme="majorBidi"/>
      <w:b w:val="0"/>
      <w:color w:val="2E74B5" w:themeColor="accent1" w:themeShade="BF"/>
      <w:sz w:val="32"/>
    </w:rPr>
  </w:style>
  <w:style w:type="paragraph" w:styleId="TOC1">
    <w:name w:val="toc 1"/>
    <w:basedOn w:val="Normal"/>
    <w:next w:val="Normal"/>
    <w:autoRedefine/>
    <w:uiPriority w:val="39"/>
    <w:unhideWhenUsed/>
    <w:rsid w:val="00901868"/>
    <w:pPr>
      <w:spacing w:after="100"/>
    </w:pPr>
    <w:rPr>
      <w:rFonts w:cs="Times New Roman"/>
      <w:szCs w:val="24"/>
    </w:rPr>
  </w:style>
  <w:style w:type="paragraph" w:styleId="Caption">
    <w:name w:val="caption"/>
    <w:basedOn w:val="Normal"/>
    <w:next w:val="Normal"/>
    <w:uiPriority w:val="35"/>
    <w:unhideWhenUsed/>
    <w:qFormat/>
    <w:rsid w:val="00971BE4"/>
    <w:pPr>
      <w:spacing w:after="200"/>
    </w:pPr>
    <w:rPr>
      <w:i/>
      <w:iCs/>
      <w:color w:val="44546A" w:themeColor="text2"/>
      <w:sz w:val="18"/>
      <w:szCs w:val="18"/>
    </w:rPr>
  </w:style>
  <w:style w:type="character" w:customStyle="1" w:styleId="apple-converted-space">
    <w:name w:val="apple-converted-space"/>
    <w:basedOn w:val="DefaultParagraphFont"/>
    <w:rsid w:val="00971BE4"/>
  </w:style>
  <w:style w:type="character" w:styleId="Emphasis">
    <w:name w:val="Emphasis"/>
    <w:basedOn w:val="DefaultParagraphFont"/>
    <w:uiPriority w:val="20"/>
    <w:qFormat/>
    <w:rsid w:val="00971BE4"/>
    <w:rPr>
      <w:i/>
      <w:iCs/>
    </w:rPr>
  </w:style>
  <w:style w:type="character" w:styleId="UnresolvedMention">
    <w:name w:val="Unresolved Mention"/>
    <w:basedOn w:val="DefaultParagraphFont"/>
    <w:uiPriority w:val="99"/>
    <w:semiHidden/>
    <w:unhideWhenUsed/>
    <w:rsid w:val="00C0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 w:id="212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oguide.congress.gov/search/bio/M0005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ioguide.congress.gov/search/bio/H00026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oguide.congress.gov/search/bio/D000448" TargetMode="External"/><Relationship Id="rId5" Type="http://schemas.openxmlformats.org/officeDocument/2006/relationships/webSettings" Target="webSettings.xml"/><Relationship Id="rId15" Type="http://schemas.openxmlformats.org/officeDocument/2006/relationships/hyperlink" Target="https://bioguide.congress.gov/search/bio/H000607" TargetMode="External"/><Relationship Id="rId23" Type="http://schemas.openxmlformats.org/officeDocument/2006/relationships/theme" Target="theme/theme1.xml"/><Relationship Id="rId10" Type="http://schemas.openxmlformats.org/officeDocument/2006/relationships/hyperlink" Target="https://bioguide.congress.gov/search/bio/S00107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ioguide.congress.gov/search/bio/C000769" TargetMode="External"/><Relationship Id="rId14" Type="http://schemas.openxmlformats.org/officeDocument/2006/relationships/hyperlink" Target="https://bioguide.congress.gov/search/bio/G000323"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enate.gov/history/partydiv.htm" TargetMode="External"/><Relationship Id="rId2" Type="http://schemas.openxmlformats.org/officeDocument/2006/relationships/hyperlink" Target="http://history.house.gov/Institution/Party-Divisions/Party-Divisions/" TargetMode="External"/><Relationship Id="rId1" Type="http://schemas.openxmlformats.org/officeDocument/2006/relationships/hyperlink" Target="http://history.house.gov/Congressional-Overview/Profiles/73rd/"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32</cp:revision>
  <dcterms:created xsi:type="dcterms:W3CDTF">2021-06-17T14:57:00Z</dcterms:created>
  <dcterms:modified xsi:type="dcterms:W3CDTF">2022-05-05T19:50:00Z</dcterms:modified>
</cp:coreProperties>
</file>